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F63" w:rsidRDefault="00E13F63" w:rsidP="00E13F63">
      <w:pPr>
        <w:pStyle w:val="Standard"/>
        <w:jc w:val="center"/>
        <w:rPr>
          <w:rFonts w:ascii="Arial Narrow" w:hAnsi="Arial Narrow"/>
          <w:b/>
          <w:bCs/>
          <w:sz w:val="48"/>
          <w:szCs w:val="28"/>
        </w:rPr>
      </w:pPr>
    </w:p>
    <w:p w:rsidR="00E13F63" w:rsidRDefault="00E13F63" w:rsidP="00E13F63">
      <w:pPr>
        <w:pStyle w:val="Standard"/>
        <w:jc w:val="center"/>
        <w:rPr>
          <w:rFonts w:ascii="Arial Narrow" w:hAnsi="Arial Narrow"/>
          <w:b/>
          <w:bCs/>
          <w:sz w:val="48"/>
          <w:szCs w:val="28"/>
        </w:rPr>
      </w:pPr>
    </w:p>
    <w:p w:rsidR="00E13F63" w:rsidRPr="00443216" w:rsidRDefault="00E13F63" w:rsidP="00E13F63">
      <w:pPr>
        <w:pStyle w:val="Standard"/>
        <w:jc w:val="center"/>
        <w:rPr>
          <w:rFonts w:ascii="Arial Narrow" w:hAnsi="Arial Narrow"/>
          <w:b/>
          <w:bCs/>
          <w:sz w:val="48"/>
          <w:szCs w:val="28"/>
        </w:rPr>
      </w:pPr>
    </w:p>
    <w:p w:rsidR="00E13F63" w:rsidRPr="00B93310" w:rsidRDefault="00E13F63" w:rsidP="00B93310">
      <w:pPr>
        <w:pStyle w:val="Nzev"/>
        <w:jc w:val="center"/>
        <w:rPr>
          <w:rFonts w:ascii="Arial Narrow" w:hAnsi="Arial Narrow"/>
          <w:b/>
          <w:sz w:val="72"/>
          <w:szCs w:val="48"/>
        </w:rPr>
      </w:pPr>
      <w:r w:rsidRPr="00B93310">
        <w:rPr>
          <w:rFonts w:ascii="Arial Narrow" w:hAnsi="Arial Narrow"/>
          <w:b/>
          <w:sz w:val="72"/>
          <w:szCs w:val="48"/>
        </w:rPr>
        <w:t xml:space="preserve">IPN KREDO </w:t>
      </w:r>
      <w:r w:rsidR="000F5834" w:rsidRPr="00B93310">
        <w:rPr>
          <w:rFonts w:ascii="Arial Narrow" w:hAnsi="Arial Narrow"/>
          <w:b/>
          <w:sz w:val="72"/>
          <w:szCs w:val="48"/>
        </w:rPr>
        <w:t>–</w:t>
      </w:r>
      <w:r w:rsidRPr="00B93310">
        <w:rPr>
          <w:rFonts w:ascii="Arial Narrow" w:hAnsi="Arial Narrow"/>
          <w:b/>
          <w:sz w:val="72"/>
          <w:szCs w:val="48"/>
        </w:rPr>
        <w:t xml:space="preserve"> </w:t>
      </w:r>
      <w:r w:rsidR="000F5834" w:rsidRPr="00B93310">
        <w:rPr>
          <w:rFonts w:ascii="Arial Narrow" w:hAnsi="Arial Narrow"/>
          <w:b/>
          <w:sz w:val="72"/>
          <w:szCs w:val="48"/>
        </w:rPr>
        <w:t>úkol č. 6</w:t>
      </w:r>
    </w:p>
    <w:p w:rsidR="00663B94" w:rsidRPr="0086472B" w:rsidRDefault="00663B94" w:rsidP="00B93310">
      <w:pPr>
        <w:pStyle w:val="Nzev"/>
        <w:jc w:val="center"/>
        <w:rPr>
          <w:rFonts w:ascii="Arial Narrow" w:hAnsi="Arial Narrow"/>
          <w:b/>
          <w:sz w:val="72"/>
          <w:szCs w:val="48"/>
        </w:rPr>
      </w:pPr>
      <w:r w:rsidRPr="0086472B">
        <w:rPr>
          <w:rFonts w:ascii="Arial Narrow" w:hAnsi="Arial Narrow"/>
          <w:b/>
          <w:sz w:val="72"/>
          <w:szCs w:val="48"/>
        </w:rPr>
        <w:t>část „bilance zdrojů VŠ“</w:t>
      </w:r>
    </w:p>
    <w:p w:rsidR="00663B94" w:rsidRPr="00B93310" w:rsidRDefault="00663B94" w:rsidP="00B93310">
      <w:pPr>
        <w:pStyle w:val="Nzev"/>
        <w:jc w:val="center"/>
        <w:rPr>
          <w:rFonts w:ascii="Arial Narrow" w:hAnsi="Arial Narrow" w:cs="Times New Roman"/>
          <w:b/>
          <w:bCs/>
          <w:noProof/>
          <w:sz w:val="48"/>
          <w:szCs w:val="48"/>
        </w:rPr>
      </w:pPr>
    </w:p>
    <w:p w:rsidR="00663B94" w:rsidRPr="00B93310" w:rsidRDefault="00663B94" w:rsidP="00B93310">
      <w:pPr>
        <w:pStyle w:val="Nzev"/>
        <w:jc w:val="center"/>
        <w:rPr>
          <w:rFonts w:ascii="Arial Narrow" w:hAnsi="Arial Narrow" w:cs="Times New Roman"/>
          <w:b/>
          <w:bCs/>
          <w:noProof/>
          <w:sz w:val="48"/>
          <w:szCs w:val="48"/>
        </w:rPr>
      </w:pPr>
    </w:p>
    <w:p w:rsidR="00663B94" w:rsidRPr="00B93310" w:rsidRDefault="00663B94" w:rsidP="00B93310">
      <w:pPr>
        <w:pStyle w:val="Nzev"/>
        <w:jc w:val="center"/>
        <w:rPr>
          <w:rFonts w:ascii="Arial Narrow" w:hAnsi="Arial Narrow" w:cs="Times New Roman"/>
          <w:b/>
          <w:bCs/>
          <w:noProof/>
          <w:sz w:val="48"/>
          <w:szCs w:val="48"/>
        </w:rPr>
      </w:pPr>
    </w:p>
    <w:p w:rsidR="00663B94" w:rsidRPr="0086472B" w:rsidRDefault="00663B94" w:rsidP="00B93310">
      <w:pPr>
        <w:pStyle w:val="Nzev"/>
        <w:jc w:val="center"/>
        <w:rPr>
          <w:rFonts w:ascii="Arial Narrow" w:hAnsi="Arial Narrow" w:cstheme="minorBidi"/>
          <w:b/>
          <w:sz w:val="48"/>
          <w:szCs w:val="48"/>
        </w:rPr>
      </w:pPr>
      <w:r w:rsidRPr="0086472B">
        <w:rPr>
          <w:rFonts w:ascii="Arial Narrow" w:hAnsi="Arial Narrow" w:cstheme="minorBidi"/>
          <w:b/>
          <w:sz w:val="48"/>
          <w:szCs w:val="48"/>
        </w:rPr>
        <w:t>Vyhodnocení úkolu</w:t>
      </w:r>
      <w:r w:rsidR="009F04D7" w:rsidRPr="0086472B">
        <w:rPr>
          <w:rFonts w:ascii="Arial Narrow" w:hAnsi="Arial Narrow" w:cstheme="minorBidi"/>
          <w:b/>
          <w:sz w:val="48"/>
          <w:szCs w:val="48"/>
        </w:rPr>
        <w:t xml:space="preserve"> a další doporučení vztahující se k</w:t>
      </w:r>
      <w:r w:rsidR="008F63A8">
        <w:rPr>
          <w:rFonts w:ascii="Arial Narrow" w:hAnsi="Arial Narrow" w:cstheme="minorBidi"/>
          <w:b/>
          <w:sz w:val="48"/>
          <w:szCs w:val="48"/>
        </w:rPr>
        <w:t> </w:t>
      </w:r>
      <w:r w:rsidR="009F04D7" w:rsidRPr="0086472B">
        <w:rPr>
          <w:rFonts w:ascii="Arial Narrow" w:hAnsi="Arial Narrow" w:cstheme="minorBidi"/>
          <w:b/>
          <w:sz w:val="48"/>
          <w:szCs w:val="48"/>
        </w:rPr>
        <w:t>tématu</w:t>
      </w:r>
      <w:r w:rsidR="008F63A8">
        <w:rPr>
          <w:rFonts w:ascii="Arial Narrow" w:hAnsi="Arial Narrow" w:cstheme="minorBidi"/>
          <w:b/>
          <w:sz w:val="48"/>
          <w:szCs w:val="48"/>
        </w:rPr>
        <w:t xml:space="preserve"> „bilance zdrojů VŠ"</w:t>
      </w:r>
    </w:p>
    <w:p w:rsidR="00E13F63" w:rsidRPr="00B93310" w:rsidRDefault="00663B94" w:rsidP="008F63A8">
      <w:pPr>
        <w:pStyle w:val="Nzev"/>
        <w:numPr>
          <w:ilvl w:val="0"/>
          <w:numId w:val="5"/>
        </w:numPr>
        <w:jc w:val="center"/>
        <w:rPr>
          <w:rFonts w:ascii="Arial Narrow" w:hAnsi="Arial Narrow"/>
          <w:b/>
          <w:sz w:val="48"/>
          <w:szCs w:val="48"/>
        </w:rPr>
      </w:pPr>
      <w:r w:rsidRPr="00B93310">
        <w:rPr>
          <w:rFonts w:ascii="Arial Narrow" w:hAnsi="Arial Narrow" w:cstheme="minorBidi"/>
          <w:b/>
          <w:sz w:val="48"/>
          <w:szCs w:val="48"/>
        </w:rPr>
        <w:t>shrnutí po zapracování připomínek týmu KA04</w:t>
      </w:r>
    </w:p>
    <w:p w:rsidR="00B93310" w:rsidRDefault="00B93310" w:rsidP="00E13F63">
      <w:pPr>
        <w:rPr>
          <w:rFonts w:ascii="Arial Narrow" w:hAnsi="Arial Narrow"/>
          <w:b/>
          <w:sz w:val="28"/>
        </w:rPr>
      </w:pPr>
    </w:p>
    <w:p w:rsidR="00E13F63" w:rsidRDefault="00E13F63" w:rsidP="00E13F63">
      <w:pPr>
        <w:rPr>
          <w:rFonts w:ascii="Arial Narrow" w:hAnsi="Arial Narrow"/>
          <w:b/>
          <w:sz w:val="28"/>
        </w:rPr>
      </w:pPr>
    </w:p>
    <w:p w:rsidR="0086472B" w:rsidRDefault="0086472B" w:rsidP="00E13F63">
      <w:pPr>
        <w:rPr>
          <w:rFonts w:ascii="Arial Narrow" w:hAnsi="Arial Narrow"/>
          <w:b/>
          <w:sz w:val="28"/>
        </w:rPr>
      </w:pPr>
    </w:p>
    <w:p w:rsidR="00E13F63" w:rsidRDefault="00E13F63" w:rsidP="00E13F63">
      <w:pPr>
        <w:rPr>
          <w:rFonts w:ascii="Arial Narrow" w:hAnsi="Arial Narrow"/>
          <w:b/>
          <w:sz w:val="28"/>
        </w:rPr>
      </w:pPr>
    </w:p>
    <w:p w:rsidR="00E13F63" w:rsidRDefault="00E13F63" w:rsidP="00E13F63">
      <w:pPr>
        <w:rPr>
          <w:rFonts w:ascii="Arial Narrow" w:hAnsi="Arial Narrow"/>
          <w:b/>
          <w:sz w:val="28"/>
        </w:rPr>
      </w:pPr>
    </w:p>
    <w:p w:rsidR="00E13F63" w:rsidRDefault="00E13F63" w:rsidP="00E13F63">
      <w:pPr>
        <w:rPr>
          <w:rFonts w:ascii="Arial Narrow" w:hAnsi="Arial Narrow" w:cs="Times New Roman"/>
          <w:sz w:val="24"/>
          <w:szCs w:val="24"/>
        </w:rPr>
      </w:pPr>
      <w:r w:rsidRPr="00443216">
        <w:rPr>
          <w:rFonts w:ascii="Arial Narrow" w:hAnsi="Arial Narrow"/>
          <w:b/>
          <w:sz w:val="28"/>
        </w:rPr>
        <w:t xml:space="preserve">Zpracoval: </w:t>
      </w:r>
      <w:r w:rsidR="00663B94" w:rsidRPr="00E13F63">
        <w:rPr>
          <w:rFonts w:ascii="Arial Narrow" w:hAnsi="Arial Narrow" w:cs="Times New Roman"/>
          <w:sz w:val="24"/>
          <w:szCs w:val="24"/>
        </w:rPr>
        <w:t xml:space="preserve">RNDr. Pavel Popela, Ph.D., tým </w:t>
      </w:r>
      <w:r w:rsidR="00B93310">
        <w:rPr>
          <w:rFonts w:ascii="Arial Narrow" w:hAnsi="Arial Narrow" w:cs="Times New Roman"/>
          <w:sz w:val="24"/>
          <w:szCs w:val="24"/>
        </w:rPr>
        <w:t xml:space="preserve">IPN KREDO </w:t>
      </w:r>
      <w:r w:rsidR="00663B94" w:rsidRPr="00E13F63">
        <w:rPr>
          <w:rFonts w:ascii="Arial Narrow" w:hAnsi="Arial Narrow" w:cs="Times New Roman"/>
          <w:sz w:val="24"/>
          <w:szCs w:val="24"/>
        </w:rPr>
        <w:t>KA03</w:t>
      </w:r>
    </w:p>
    <w:p w:rsidR="00794584" w:rsidRDefault="00794584" w:rsidP="00794584">
      <w:pPr>
        <w:rPr>
          <w:rFonts w:ascii="Arial Narrow" w:hAnsi="Arial Narrow" w:cs="Times New Roman"/>
          <w:sz w:val="24"/>
          <w:szCs w:val="24"/>
        </w:rPr>
      </w:pPr>
      <w:r>
        <w:rPr>
          <w:rFonts w:ascii="Arial Narrow" w:hAnsi="Arial Narrow"/>
          <w:b/>
          <w:sz w:val="28"/>
        </w:rPr>
        <w:t>Redigoval</w:t>
      </w:r>
      <w:r w:rsidRPr="00443216">
        <w:rPr>
          <w:rFonts w:ascii="Arial Narrow" w:hAnsi="Arial Narrow"/>
          <w:b/>
          <w:sz w:val="28"/>
        </w:rPr>
        <w:t xml:space="preserve">: </w:t>
      </w:r>
      <w:r>
        <w:rPr>
          <w:rFonts w:ascii="Arial Narrow" w:hAnsi="Arial Narrow" w:cs="Times New Roman"/>
          <w:sz w:val="24"/>
          <w:szCs w:val="24"/>
        </w:rPr>
        <w:t>doc. Ing. Jakub Fischer</w:t>
      </w:r>
      <w:r w:rsidRPr="00E13F63">
        <w:rPr>
          <w:rFonts w:ascii="Arial Narrow" w:hAnsi="Arial Narrow" w:cs="Times New Roman"/>
          <w:sz w:val="24"/>
          <w:szCs w:val="24"/>
        </w:rPr>
        <w:t xml:space="preserve">, Ph.D., </w:t>
      </w:r>
      <w:r>
        <w:rPr>
          <w:rFonts w:ascii="Arial Narrow" w:hAnsi="Arial Narrow" w:cs="Times New Roman"/>
          <w:sz w:val="24"/>
          <w:szCs w:val="24"/>
        </w:rPr>
        <w:t>garant aktivity KA03</w:t>
      </w:r>
      <w:r w:rsidRPr="00E13F63">
        <w:rPr>
          <w:rFonts w:ascii="Arial Narrow" w:hAnsi="Arial Narrow" w:cs="Times New Roman"/>
          <w:sz w:val="24"/>
          <w:szCs w:val="24"/>
        </w:rPr>
        <w:t xml:space="preserve"> </w:t>
      </w:r>
      <w:r>
        <w:rPr>
          <w:rFonts w:ascii="Arial Narrow" w:hAnsi="Arial Narrow" w:cs="Times New Roman"/>
          <w:sz w:val="24"/>
          <w:szCs w:val="24"/>
        </w:rPr>
        <w:t xml:space="preserve">IPN KREDO </w:t>
      </w:r>
    </w:p>
    <w:p w:rsidR="00E13F63" w:rsidRDefault="00E13F63" w:rsidP="00E13F63">
      <w:pPr>
        <w:rPr>
          <w:rFonts w:ascii="Arial Narrow" w:hAnsi="Arial Narrow"/>
          <w:b/>
          <w:bCs/>
          <w:color w:val="21798E"/>
          <w:sz w:val="28"/>
          <w:szCs w:val="28"/>
        </w:rPr>
      </w:pPr>
      <w:r w:rsidRPr="00443216">
        <w:rPr>
          <w:rFonts w:ascii="Arial Narrow" w:hAnsi="Arial Narrow"/>
          <w:b/>
          <w:sz w:val="28"/>
        </w:rPr>
        <w:t xml:space="preserve">Datum: </w:t>
      </w:r>
      <w:r w:rsidR="00663B94" w:rsidRPr="00E13F63">
        <w:rPr>
          <w:rFonts w:ascii="Arial Narrow" w:hAnsi="Arial Narrow" w:cs="Times New Roman"/>
          <w:sz w:val="24"/>
          <w:szCs w:val="24"/>
        </w:rPr>
        <w:t xml:space="preserve">aktualizovaná verze ze dne </w:t>
      </w:r>
      <w:r w:rsidR="00794584">
        <w:rPr>
          <w:rFonts w:ascii="Arial Narrow" w:hAnsi="Arial Narrow" w:cs="Times New Roman"/>
          <w:sz w:val="24"/>
          <w:szCs w:val="24"/>
        </w:rPr>
        <w:t>20</w:t>
      </w:r>
      <w:r w:rsidR="00663B94" w:rsidRPr="00E13F63">
        <w:rPr>
          <w:rFonts w:ascii="Arial Narrow" w:hAnsi="Arial Narrow" w:cs="Times New Roman"/>
          <w:sz w:val="24"/>
          <w:szCs w:val="24"/>
        </w:rPr>
        <w:t xml:space="preserve">. </w:t>
      </w:r>
      <w:r w:rsidR="00794584">
        <w:rPr>
          <w:rFonts w:ascii="Arial Narrow" w:hAnsi="Arial Narrow" w:cs="Times New Roman"/>
          <w:sz w:val="24"/>
          <w:szCs w:val="24"/>
        </w:rPr>
        <w:t>10</w:t>
      </w:r>
      <w:r w:rsidR="00663B94" w:rsidRPr="00E13F63">
        <w:rPr>
          <w:rFonts w:ascii="Arial Narrow" w:hAnsi="Arial Narrow" w:cs="Times New Roman"/>
          <w:sz w:val="24"/>
          <w:szCs w:val="24"/>
        </w:rPr>
        <w:t xml:space="preserve">. 2015   </w:t>
      </w:r>
      <w:r>
        <w:rPr>
          <w:rFonts w:ascii="Arial Narrow" w:hAnsi="Arial Narrow"/>
        </w:rPr>
        <w:br w:type="page"/>
      </w:r>
    </w:p>
    <w:bookmarkStart w:id="0" w:name="_Toc424296452" w:displacedByCustomXml="next"/>
    <w:sdt>
      <w:sdtPr>
        <w:rPr>
          <w:rFonts w:asciiTheme="minorHAnsi" w:hAnsiTheme="minorHAnsi" w:cstheme="minorBidi"/>
          <w:b w:val="0"/>
          <w:bCs w:val="0"/>
          <w:kern w:val="0"/>
          <w:sz w:val="22"/>
          <w:szCs w:val="22"/>
        </w:rPr>
        <w:id w:val="710621458"/>
        <w:docPartObj>
          <w:docPartGallery w:val="Table of Contents"/>
          <w:docPartUnique/>
        </w:docPartObj>
      </w:sdtPr>
      <w:sdtContent>
        <w:p w:rsidR="00B93310" w:rsidRDefault="00B93310" w:rsidP="00B93310">
          <w:pPr>
            <w:pStyle w:val="Nadpis1"/>
          </w:pPr>
          <w:r w:rsidRPr="00B93310">
            <w:t>Obsah</w:t>
          </w:r>
          <w:bookmarkEnd w:id="0"/>
        </w:p>
        <w:p w:rsidR="00B93310" w:rsidRPr="00B93310" w:rsidRDefault="00B93310" w:rsidP="00B93310"/>
        <w:p w:rsidR="008F63A8" w:rsidRDefault="002B5F56">
          <w:pPr>
            <w:pStyle w:val="Obsah1"/>
            <w:tabs>
              <w:tab w:val="right" w:leader="dot" w:pos="9062"/>
            </w:tabs>
            <w:rPr>
              <w:noProof/>
            </w:rPr>
          </w:pPr>
          <w:r w:rsidRPr="00B93310">
            <w:rPr>
              <w:rFonts w:ascii="Arial Narrow" w:hAnsi="Arial Narrow"/>
            </w:rPr>
            <w:fldChar w:fldCharType="begin"/>
          </w:r>
          <w:r w:rsidR="00B93310" w:rsidRPr="00B93310">
            <w:rPr>
              <w:rFonts w:ascii="Arial Narrow" w:hAnsi="Arial Narrow"/>
            </w:rPr>
            <w:instrText xml:space="preserve"> TOC \o "1-3" \h \z \u </w:instrText>
          </w:r>
          <w:r w:rsidRPr="00B93310">
            <w:rPr>
              <w:rFonts w:ascii="Arial Narrow" w:hAnsi="Arial Narrow"/>
            </w:rPr>
            <w:fldChar w:fldCharType="separate"/>
          </w:r>
          <w:hyperlink w:anchor="_Toc424296452" w:history="1">
            <w:r w:rsidR="008F63A8" w:rsidRPr="00446E24">
              <w:rPr>
                <w:rStyle w:val="Hypertextovodkaz"/>
                <w:noProof/>
              </w:rPr>
              <w:t>Obsah</w:t>
            </w:r>
            <w:r w:rsidR="008F63A8">
              <w:rPr>
                <w:noProof/>
                <w:webHidden/>
              </w:rPr>
              <w:tab/>
            </w:r>
            <w:r>
              <w:rPr>
                <w:noProof/>
                <w:webHidden/>
              </w:rPr>
              <w:fldChar w:fldCharType="begin"/>
            </w:r>
            <w:r w:rsidR="008F63A8">
              <w:rPr>
                <w:noProof/>
                <w:webHidden/>
              </w:rPr>
              <w:instrText xml:space="preserve"> PAGEREF _Toc424296452 \h </w:instrText>
            </w:r>
            <w:r>
              <w:rPr>
                <w:noProof/>
                <w:webHidden/>
              </w:rPr>
            </w:r>
            <w:r>
              <w:rPr>
                <w:noProof/>
                <w:webHidden/>
              </w:rPr>
              <w:fldChar w:fldCharType="separate"/>
            </w:r>
            <w:r w:rsidR="008F63A8">
              <w:rPr>
                <w:noProof/>
                <w:webHidden/>
              </w:rPr>
              <w:t>2</w:t>
            </w:r>
            <w:r>
              <w:rPr>
                <w:noProof/>
                <w:webHidden/>
              </w:rPr>
              <w:fldChar w:fldCharType="end"/>
            </w:r>
          </w:hyperlink>
        </w:p>
        <w:p w:rsidR="008F63A8" w:rsidRDefault="008063BB">
          <w:pPr>
            <w:pStyle w:val="Obsah1"/>
            <w:tabs>
              <w:tab w:val="right" w:leader="dot" w:pos="9062"/>
            </w:tabs>
            <w:rPr>
              <w:noProof/>
            </w:rPr>
          </w:pPr>
          <w:hyperlink w:anchor="_Toc424296453" w:history="1">
            <w:r w:rsidR="008F63A8" w:rsidRPr="00446E24">
              <w:rPr>
                <w:rStyle w:val="Hypertextovodkaz"/>
                <w:noProof/>
              </w:rPr>
              <w:t>Úvodní poznámka</w:t>
            </w:r>
            <w:r w:rsidR="008F63A8">
              <w:rPr>
                <w:noProof/>
                <w:webHidden/>
              </w:rPr>
              <w:tab/>
            </w:r>
            <w:r w:rsidR="002B5F56">
              <w:rPr>
                <w:noProof/>
                <w:webHidden/>
              </w:rPr>
              <w:fldChar w:fldCharType="begin"/>
            </w:r>
            <w:r w:rsidR="008F63A8">
              <w:rPr>
                <w:noProof/>
                <w:webHidden/>
              </w:rPr>
              <w:instrText xml:space="preserve"> PAGEREF _Toc424296453 \h </w:instrText>
            </w:r>
            <w:r w:rsidR="002B5F56">
              <w:rPr>
                <w:noProof/>
                <w:webHidden/>
              </w:rPr>
            </w:r>
            <w:r w:rsidR="002B5F56">
              <w:rPr>
                <w:noProof/>
                <w:webHidden/>
              </w:rPr>
              <w:fldChar w:fldCharType="separate"/>
            </w:r>
            <w:r w:rsidR="008F63A8">
              <w:rPr>
                <w:noProof/>
                <w:webHidden/>
              </w:rPr>
              <w:t>3</w:t>
            </w:r>
            <w:r w:rsidR="002B5F56">
              <w:rPr>
                <w:noProof/>
                <w:webHidden/>
              </w:rPr>
              <w:fldChar w:fldCharType="end"/>
            </w:r>
          </w:hyperlink>
        </w:p>
        <w:p w:rsidR="008F63A8" w:rsidRDefault="008063BB">
          <w:pPr>
            <w:pStyle w:val="Obsah1"/>
            <w:tabs>
              <w:tab w:val="right" w:leader="dot" w:pos="9062"/>
            </w:tabs>
            <w:rPr>
              <w:noProof/>
            </w:rPr>
          </w:pPr>
          <w:hyperlink w:anchor="_Toc424296454" w:history="1">
            <w:r w:rsidR="008F63A8" w:rsidRPr="00446E24">
              <w:rPr>
                <w:rStyle w:val="Hypertextovodkaz"/>
                <w:noProof/>
              </w:rPr>
              <w:t>Vyhodnocení úkolu č. 6 část „bilance zdrojů VŠ“</w:t>
            </w:r>
            <w:r w:rsidR="008F63A8">
              <w:rPr>
                <w:noProof/>
                <w:webHidden/>
              </w:rPr>
              <w:tab/>
            </w:r>
            <w:r w:rsidR="002B5F56">
              <w:rPr>
                <w:noProof/>
                <w:webHidden/>
              </w:rPr>
              <w:fldChar w:fldCharType="begin"/>
            </w:r>
            <w:r w:rsidR="008F63A8">
              <w:rPr>
                <w:noProof/>
                <w:webHidden/>
              </w:rPr>
              <w:instrText xml:space="preserve"> PAGEREF _Toc424296454 \h </w:instrText>
            </w:r>
            <w:r w:rsidR="002B5F56">
              <w:rPr>
                <w:noProof/>
                <w:webHidden/>
              </w:rPr>
            </w:r>
            <w:r w:rsidR="002B5F56">
              <w:rPr>
                <w:noProof/>
                <w:webHidden/>
              </w:rPr>
              <w:fldChar w:fldCharType="separate"/>
            </w:r>
            <w:r w:rsidR="008F63A8">
              <w:rPr>
                <w:noProof/>
                <w:webHidden/>
              </w:rPr>
              <w:t>5</w:t>
            </w:r>
            <w:r w:rsidR="002B5F56">
              <w:rPr>
                <w:noProof/>
                <w:webHidden/>
              </w:rPr>
              <w:fldChar w:fldCharType="end"/>
            </w:r>
          </w:hyperlink>
        </w:p>
        <w:p w:rsidR="008F63A8" w:rsidRDefault="008063BB">
          <w:pPr>
            <w:pStyle w:val="Obsah1"/>
            <w:tabs>
              <w:tab w:val="right" w:leader="dot" w:pos="9062"/>
            </w:tabs>
            <w:rPr>
              <w:noProof/>
            </w:rPr>
          </w:pPr>
          <w:hyperlink w:anchor="_Toc424296455" w:history="1">
            <w:r w:rsidR="008F63A8" w:rsidRPr="00446E24">
              <w:rPr>
                <w:rStyle w:val="Hypertextovodkaz"/>
                <w:noProof/>
              </w:rPr>
              <w:t>ZÁVĚRY: 10 bodů pro MŠMT z podnětů VŠ:</w:t>
            </w:r>
            <w:r w:rsidR="008F63A8">
              <w:rPr>
                <w:noProof/>
                <w:webHidden/>
              </w:rPr>
              <w:tab/>
            </w:r>
            <w:r w:rsidR="002B5F56">
              <w:rPr>
                <w:noProof/>
                <w:webHidden/>
              </w:rPr>
              <w:fldChar w:fldCharType="begin"/>
            </w:r>
            <w:r w:rsidR="008F63A8">
              <w:rPr>
                <w:noProof/>
                <w:webHidden/>
              </w:rPr>
              <w:instrText xml:space="preserve"> PAGEREF _Toc424296455 \h </w:instrText>
            </w:r>
            <w:r w:rsidR="002B5F56">
              <w:rPr>
                <w:noProof/>
                <w:webHidden/>
              </w:rPr>
            </w:r>
            <w:r w:rsidR="002B5F56">
              <w:rPr>
                <w:noProof/>
                <w:webHidden/>
              </w:rPr>
              <w:fldChar w:fldCharType="separate"/>
            </w:r>
            <w:r w:rsidR="008F63A8">
              <w:rPr>
                <w:noProof/>
                <w:webHidden/>
              </w:rPr>
              <w:t>56</w:t>
            </w:r>
            <w:r w:rsidR="002B5F56">
              <w:rPr>
                <w:noProof/>
                <w:webHidden/>
              </w:rPr>
              <w:fldChar w:fldCharType="end"/>
            </w:r>
          </w:hyperlink>
        </w:p>
        <w:p w:rsidR="008F63A8" w:rsidRDefault="008063BB">
          <w:pPr>
            <w:pStyle w:val="Obsah1"/>
            <w:tabs>
              <w:tab w:val="right" w:leader="dot" w:pos="9062"/>
            </w:tabs>
            <w:rPr>
              <w:noProof/>
            </w:rPr>
          </w:pPr>
          <w:hyperlink w:anchor="_Toc424296456" w:history="1">
            <w:r w:rsidR="008F63A8" w:rsidRPr="00446E24">
              <w:rPr>
                <w:rStyle w:val="Hypertextovodkaz"/>
                <w:noProof/>
              </w:rPr>
              <w:t>ZÁVĚRY: 10 bodů pro VŠ:</w:t>
            </w:r>
            <w:r w:rsidR="008F63A8">
              <w:rPr>
                <w:noProof/>
                <w:webHidden/>
              </w:rPr>
              <w:tab/>
            </w:r>
            <w:r w:rsidR="002B5F56">
              <w:rPr>
                <w:noProof/>
                <w:webHidden/>
              </w:rPr>
              <w:fldChar w:fldCharType="begin"/>
            </w:r>
            <w:r w:rsidR="008F63A8">
              <w:rPr>
                <w:noProof/>
                <w:webHidden/>
              </w:rPr>
              <w:instrText xml:space="preserve"> PAGEREF _Toc424296456 \h </w:instrText>
            </w:r>
            <w:r w:rsidR="002B5F56">
              <w:rPr>
                <w:noProof/>
                <w:webHidden/>
              </w:rPr>
            </w:r>
            <w:r w:rsidR="002B5F56">
              <w:rPr>
                <w:noProof/>
                <w:webHidden/>
              </w:rPr>
              <w:fldChar w:fldCharType="separate"/>
            </w:r>
            <w:r w:rsidR="008F63A8">
              <w:rPr>
                <w:noProof/>
                <w:webHidden/>
              </w:rPr>
              <w:t>73</w:t>
            </w:r>
            <w:r w:rsidR="002B5F56">
              <w:rPr>
                <w:noProof/>
                <w:webHidden/>
              </w:rPr>
              <w:fldChar w:fldCharType="end"/>
            </w:r>
          </w:hyperlink>
        </w:p>
        <w:p w:rsidR="008F63A8" w:rsidRDefault="008063BB">
          <w:pPr>
            <w:pStyle w:val="Obsah1"/>
            <w:tabs>
              <w:tab w:val="right" w:leader="dot" w:pos="9062"/>
            </w:tabs>
            <w:rPr>
              <w:noProof/>
            </w:rPr>
          </w:pPr>
          <w:hyperlink w:anchor="_Toc424296457" w:history="1">
            <w:r w:rsidR="008F63A8" w:rsidRPr="00446E24">
              <w:rPr>
                <w:rStyle w:val="Hypertextovodkaz"/>
                <w:noProof/>
              </w:rPr>
              <w:t>Souhrnná doporučení týmu KA04 pro MŠMT</w:t>
            </w:r>
            <w:r w:rsidR="008F63A8">
              <w:rPr>
                <w:noProof/>
                <w:webHidden/>
              </w:rPr>
              <w:tab/>
            </w:r>
            <w:r w:rsidR="002B5F56">
              <w:rPr>
                <w:noProof/>
                <w:webHidden/>
              </w:rPr>
              <w:fldChar w:fldCharType="begin"/>
            </w:r>
            <w:r w:rsidR="008F63A8">
              <w:rPr>
                <w:noProof/>
                <w:webHidden/>
              </w:rPr>
              <w:instrText xml:space="preserve"> PAGEREF _Toc424296457 \h </w:instrText>
            </w:r>
            <w:r w:rsidR="002B5F56">
              <w:rPr>
                <w:noProof/>
                <w:webHidden/>
              </w:rPr>
            </w:r>
            <w:r w:rsidR="002B5F56">
              <w:rPr>
                <w:noProof/>
                <w:webHidden/>
              </w:rPr>
              <w:fldChar w:fldCharType="separate"/>
            </w:r>
            <w:r w:rsidR="008F63A8">
              <w:rPr>
                <w:noProof/>
                <w:webHidden/>
              </w:rPr>
              <w:t>80</w:t>
            </w:r>
            <w:r w:rsidR="002B5F56">
              <w:rPr>
                <w:noProof/>
                <w:webHidden/>
              </w:rPr>
              <w:fldChar w:fldCharType="end"/>
            </w:r>
          </w:hyperlink>
        </w:p>
        <w:p w:rsidR="00B93310" w:rsidRDefault="002B5F56">
          <w:r w:rsidRPr="00B93310">
            <w:rPr>
              <w:rFonts w:ascii="Arial Narrow" w:hAnsi="Arial Narrow"/>
              <w:b/>
              <w:bCs/>
            </w:rPr>
            <w:fldChar w:fldCharType="end"/>
          </w:r>
        </w:p>
      </w:sdtContent>
    </w:sdt>
    <w:p w:rsidR="003B39C0" w:rsidRDefault="003B39C0">
      <w:pPr>
        <w:spacing w:after="0" w:line="240" w:lineRule="auto"/>
        <w:rPr>
          <w:rFonts w:ascii="Arial Narrow" w:hAnsi="Arial Narrow" w:cs="Times New Roman"/>
          <w:b/>
          <w:sz w:val="24"/>
          <w:szCs w:val="24"/>
        </w:rPr>
      </w:pPr>
    </w:p>
    <w:p w:rsidR="003B39C0" w:rsidRDefault="003B39C0">
      <w:pPr>
        <w:spacing w:after="0" w:line="240" w:lineRule="auto"/>
        <w:rPr>
          <w:rFonts w:ascii="Arial Narrow" w:hAnsi="Arial Narrow" w:cs="Times New Roman"/>
          <w:b/>
          <w:sz w:val="24"/>
          <w:szCs w:val="24"/>
        </w:rPr>
      </w:pPr>
    </w:p>
    <w:p w:rsidR="003B39C0" w:rsidRDefault="003B39C0">
      <w:pPr>
        <w:spacing w:after="0" w:line="240" w:lineRule="auto"/>
        <w:rPr>
          <w:rFonts w:ascii="Arial Narrow" w:hAnsi="Arial Narrow" w:cs="Times New Roman"/>
          <w:b/>
          <w:sz w:val="24"/>
          <w:szCs w:val="24"/>
        </w:rPr>
      </w:pPr>
      <w:r>
        <w:rPr>
          <w:rFonts w:ascii="Arial Narrow" w:hAnsi="Arial Narrow" w:cs="Times New Roman"/>
          <w:b/>
          <w:sz w:val="24"/>
          <w:szCs w:val="24"/>
        </w:rPr>
        <w:br w:type="page"/>
      </w:r>
    </w:p>
    <w:p w:rsidR="00B10403" w:rsidRDefault="00B10403" w:rsidP="00B10403">
      <w:pPr>
        <w:pStyle w:val="Nadpis1"/>
      </w:pPr>
      <w:bookmarkStart w:id="1" w:name="_Toc424296453"/>
      <w:r>
        <w:lastRenderedPageBreak/>
        <w:t>Úvod</w:t>
      </w:r>
      <w:r w:rsidR="00E841C4">
        <w:t>ní poznámka</w:t>
      </w:r>
      <w:bookmarkEnd w:id="1"/>
    </w:p>
    <w:p w:rsidR="00B10403" w:rsidRPr="00B10403" w:rsidRDefault="00B10403" w:rsidP="00B10403"/>
    <w:p w:rsidR="00B213F3" w:rsidRPr="00E13F63" w:rsidRDefault="003202CA" w:rsidP="008B3D10">
      <w:pPr>
        <w:spacing w:line="360" w:lineRule="auto"/>
        <w:jc w:val="both"/>
        <w:rPr>
          <w:rFonts w:ascii="Arial Narrow" w:hAnsi="Arial Narrow" w:cs="Times New Roman"/>
          <w:b/>
          <w:color w:val="000000"/>
          <w:sz w:val="24"/>
          <w:szCs w:val="24"/>
        </w:rPr>
      </w:pPr>
      <w:r w:rsidRPr="00E13F63">
        <w:rPr>
          <w:rFonts w:ascii="Arial Narrow" w:hAnsi="Arial Narrow" w:cs="Times New Roman"/>
          <w:b/>
          <w:sz w:val="24"/>
          <w:szCs w:val="24"/>
        </w:rPr>
        <w:t>Komentář:</w:t>
      </w:r>
      <w:r w:rsidR="00B213F3" w:rsidRPr="00E13F63">
        <w:rPr>
          <w:rFonts w:ascii="Arial Narrow" w:hAnsi="Arial Narrow" w:cs="Times New Roman"/>
          <w:b/>
          <w:sz w:val="24"/>
          <w:szCs w:val="24"/>
        </w:rPr>
        <w:t xml:space="preserve"> </w:t>
      </w:r>
      <w:r w:rsidRPr="00E13F63">
        <w:rPr>
          <w:rFonts w:ascii="Arial Narrow" w:hAnsi="Arial Narrow" w:cs="Times New Roman"/>
          <w:i/>
          <w:color w:val="000000"/>
          <w:sz w:val="24"/>
          <w:szCs w:val="24"/>
        </w:rPr>
        <w:t>K uvedenému textu proběhla široká disku</w:t>
      </w:r>
      <w:r w:rsidR="00A92C24">
        <w:rPr>
          <w:rFonts w:ascii="Arial Narrow" w:hAnsi="Arial Narrow" w:cs="Times New Roman"/>
          <w:i/>
          <w:color w:val="000000"/>
          <w:sz w:val="24"/>
          <w:szCs w:val="24"/>
        </w:rPr>
        <w:t>z</w:t>
      </w:r>
      <w:r w:rsidRPr="00E13F63">
        <w:rPr>
          <w:rFonts w:ascii="Arial Narrow" w:hAnsi="Arial Narrow" w:cs="Times New Roman"/>
          <w:i/>
          <w:color w:val="000000"/>
          <w:sz w:val="24"/>
          <w:szCs w:val="24"/>
        </w:rPr>
        <w:t xml:space="preserve">e jak v rámci </w:t>
      </w:r>
      <w:r w:rsidR="00A92C24">
        <w:rPr>
          <w:rFonts w:ascii="Arial Narrow" w:hAnsi="Arial Narrow" w:cs="Times New Roman"/>
          <w:i/>
          <w:color w:val="000000"/>
          <w:sz w:val="24"/>
          <w:szCs w:val="24"/>
        </w:rPr>
        <w:t xml:space="preserve">týmu IPN KREDO </w:t>
      </w:r>
      <w:r w:rsidRPr="00E13F63">
        <w:rPr>
          <w:rFonts w:ascii="Arial Narrow" w:hAnsi="Arial Narrow" w:cs="Times New Roman"/>
          <w:i/>
          <w:color w:val="000000"/>
          <w:sz w:val="24"/>
          <w:szCs w:val="24"/>
        </w:rPr>
        <w:t>K03, tak zejména v</w:t>
      </w:r>
      <w:r w:rsidR="00A92C24">
        <w:rPr>
          <w:rFonts w:ascii="Arial Narrow" w:hAnsi="Arial Narrow" w:cs="Times New Roman"/>
          <w:i/>
          <w:color w:val="000000"/>
          <w:sz w:val="24"/>
          <w:szCs w:val="24"/>
        </w:rPr>
        <w:t xml:space="preserve"> týmu </w:t>
      </w:r>
      <w:r w:rsidRPr="00E13F63">
        <w:rPr>
          <w:rFonts w:ascii="Arial Narrow" w:hAnsi="Arial Narrow" w:cs="Times New Roman"/>
          <w:i/>
          <w:color w:val="000000"/>
          <w:sz w:val="24"/>
          <w:szCs w:val="24"/>
        </w:rPr>
        <w:t>K</w:t>
      </w:r>
      <w:r w:rsidR="008B3D10" w:rsidRPr="00E13F63">
        <w:rPr>
          <w:rFonts w:ascii="Arial Narrow" w:hAnsi="Arial Narrow" w:cs="Times New Roman"/>
          <w:i/>
          <w:color w:val="000000"/>
          <w:sz w:val="24"/>
          <w:szCs w:val="24"/>
        </w:rPr>
        <w:t>04 a její výsledky byly průběžně</w:t>
      </w:r>
      <w:r w:rsidRPr="00E13F63">
        <w:rPr>
          <w:rFonts w:ascii="Arial Narrow" w:hAnsi="Arial Narrow" w:cs="Times New Roman"/>
          <w:i/>
          <w:color w:val="000000"/>
          <w:sz w:val="24"/>
          <w:szCs w:val="24"/>
        </w:rPr>
        <w:t xml:space="preserve"> shrnovány v</w:t>
      </w:r>
      <w:r w:rsidR="008B3D10" w:rsidRPr="00E13F63">
        <w:rPr>
          <w:rFonts w:ascii="Arial Narrow" w:hAnsi="Arial Narrow" w:cs="Times New Roman"/>
          <w:i/>
          <w:color w:val="000000"/>
          <w:sz w:val="24"/>
          <w:szCs w:val="24"/>
        </w:rPr>
        <w:t xml:space="preserve"> </w:t>
      </w:r>
      <w:r w:rsidRPr="00E13F63">
        <w:rPr>
          <w:rFonts w:ascii="Arial Narrow" w:hAnsi="Arial Narrow" w:cs="Times New Roman"/>
          <w:i/>
          <w:color w:val="000000"/>
          <w:sz w:val="24"/>
          <w:szCs w:val="24"/>
        </w:rPr>
        <w:t xml:space="preserve">řadě písemných podkladů. </w:t>
      </w:r>
      <w:r w:rsidRPr="00E13F63">
        <w:rPr>
          <w:rFonts w:ascii="Arial Narrow" w:hAnsi="Arial Narrow" w:cs="Times New Roman"/>
          <w:i/>
          <w:sz w:val="24"/>
          <w:szCs w:val="24"/>
        </w:rPr>
        <w:t xml:space="preserve">Z důvodu redukce počtu komentářových souborů autor všechny </w:t>
      </w:r>
      <w:r w:rsidR="00C90E20" w:rsidRPr="00E13F63">
        <w:rPr>
          <w:rFonts w:ascii="Arial Narrow" w:hAnsi="Arial Narrow" w:cs="Times New Roman"/>
          <w:i/>
          <w:sz w:val="24"/>
          <w:szCs w:val="24"/>
        </w:rPr>
        <w:t>připomínky v </w:t>
      </w:r>
      <w:r w:rsidRPr="00E13F63">
        <w:rPr>
          <w:rFonts w:ascii="Arial Narrow" w:hAnsi="Arial Narrow" w:cs="Times New Roman"/>
          <w:i/>
          <w:sz w:val="24"/>
          <w:szCs w:val="24"/>
        </w:rPr>
        <w:t>podklad</w:t>
      </w:r>
      <w:r w:rsidR="00C90E20" w:rsidRPr="00E13F63">
        <w:rPr>
          <w:rFonts w:ascii="Arial Narrow" w:hAnsi="Arial Narrow" w:cs="Times New Roman"/>
          <w:i/>
          <w:sz w:val="24"/>
          <w:szCs w:val="24"/>
        </w:rPr>
        <w:t>ech vypořádal a</w:t>
      </w:r>
      <w:r w:rsidRPr="00E13F63">
        <w:rPr>
          <w:rFonts w:ascii="Arial Narrow" w:hAnsi="Arial Narrow" w:cs="Times New Roman"/>
          <w:i/>
          <w:sz w:val="24"/>
          <w:szCs w:val="24"/>
        </w:rPr>
        <w:t xml:space="preserve"> zahrnul</w:t>
      </w:r>
      <w:r w:rsidR="00C90E20" w:rsidRPr="00E13F63">
        <w:rPr>
          <w:rFonts w:ascii="Arial Narrow" w:hAnsi="Arial Narrow" w:cs="Times New Roman"/>
          <w:b/>
          <w:i/>
          <w:sz w:val="24"/>
          <w:szCs w:val="24"/>
        </w:rPr>
        <w:t xml:space="preserve"> </w:t>
      </w:r>
      <w:r w:rsidR="00C90E20" w:rsidRPr="00E13F63">
        <w:rPr>
          <w:rFonts w:ascii="Arial Narrow" w:hAnsi="Arial Narrow" w:cs="Times New Roman"/>
          <w:i/>
          <w:sz w:val="24"/>
          <w:szCs w:val="24"/>
        </w:rPr>
        <w:t xml:space="preserve">do tohoto textu. </w:t>
      </w:r>
      <w:r w:rsidR="00C90E20" w:rsidRPr="00E13F63">
        <w:rPr>
          <w:rFonts w:ascii="Arial Narrow" w:hAnsi="Arial Narrow" w:cs="Times New Roman"/>
          <w:i/>
          <w:color w:val="000000"/>
          <w:sz w:val="24"/>
          <w:szCs w:val="24"/>
        </w:rPr>
        <w:t>S ohledem</w:t>
      </w:r>
      <w:r w:rsidR="00C90E20" w:rsidRPr="00E13F63">
        <w:rPr>
          <w:rFonts w:ascii="Arial Narrow" w:hAnsi="Arial Narrow" w:cs="Times New Roman"/>
          <w:color w:val="000000"/>
          <w:sz w:val="24"/>
          <w:szCs w:val="24"/>
        </w:rPr>
        <w:t xml:space="preserve"> </w:t>
      </w:r>
      <w:r w:rsidR="00C90E20" w:rsidRPr="00E13F63">
        <w:rPr>
          <w:rFonts w:ascii="Arial Narrow" w:hAnsi="Arial Narrow" w:cs="Times New Roman"/>
          <w:i/>
          <w:color w:val="000000"/>
          <w:sz w:val="24"/>
          <w:szCs w:val="24"/>
        </w:rPr>
        <w:t>na diskutovanou vyhraněnost pasáž</w:t>
      </w:r>
      <w:r w:rsidR="00C130A9">
        <w:rPr>
          <w:rFonts w:ascii="Arial Narrow" w:hAnsi="Arial Narrow" w:cs="Times New Roman"/>
          <w:i/>
          <w:color w:val="000000"/>
          <w:sz w:val="24"/>
          <w:szCs w:val="24"/>
        </w:rPr>
        <w:t>í</w:t>
      </w:r>
      <w:r w:rsidR="00C90E20" w:rsidRPr="00E13F63">
        <w:rPr>
          <w:rFonts w:ascii="Arial Narrow" w:hAnsi="Arial Narrow" w:cs="Times New Roman"/>
          <w:i/>
          <w:color w:val="000000"/>
          <w:sz w:val="24"/>
          <w:szCs w:val="24"/>
        </w:rPr>
        <w:t xml:space="preserve"> textu s cílem iniciovat potřebnou otevřenou disku</w:t>
      </w:r>
      <w:r w:rsidR="00A92C24">
        <w:rPr>
          <w:rFonts w:ascii="Arial Narrow" w:hAnsi="Arial Narrow" w:cs="Times New Roman"/>
          <w:i/>
          <w:color w:val="000000"/>
          <w:sz w:val="24"/>
          <w:szCs w:val="24"/>
        </w:rPr>
        <w:t>z</w:t>
      </w:r>
      <w:r w:rsidR="00C90E20" w:rsidRPr="00E13F63">
        <w:rPr>
          <w:rFonts w:ascii="Arial Narrow" w:hAnsi="Arial Narrow" w:cs="Times New Roman"/>
          <w:i/>
          <w:color w:val="000000"/>
          <w:sz w:val="24"/>
          <w:szCs w:val="24"/>
        </w:rPr>
        <w:t>i autor rovněž zahrnul do některých podstatných odstavců i vývoj disku</w:t>
      </w:r>
      <w:r w:rsidR="00A92C24">
        <w:rPr>
          <w:rFonts w:ascii="Arial Narrow" w:hAnsi="Arial Narrow" w:cs="Times New Roman"/>
          <w:i/>
          <w:color w:val="000000"/>
          <w:sz w:val="24"/>
          <w:szCs w:val="24"/>
        </w:rPr>
        <w:t>z</w:t>
      </w:r>
      <w:r w:rsidR="00C90E20" w:rsidRPr="00E13F63">
        <w:rPr>
          <w:rFonts w:ascii="Arial Narrow" w:hAnsi="Arial Narrow" w:cs="Times New Roman"/>
          <w:i/>
          <w:color w:val="000000"/>
          <w:sz w:val="24"/>
          <w:szCs w:val="24"/>
        </w:rPr>
        <w:t xml:space="preserve">e tak, aby si čtenář mohl udělat co nejúplnější představu o vývoji stanovisek a </w:t>
      </w:r>
      <w:r w:rsidR="00C130A9">
        <w:rPr>
          <w:rFonts w:ascii="Arial Narrow" w:hAnsi="Arial Narrow" w:cs="Times New Roman"/>
          <w:i/>
          <w:color w:val="000000"/>
          <w:sz w:val="24"/>
          <w:szCs w:val="24"/>
        </w:rPr>
        <w:t xml:space="preserve">o </w:t>
      </w:r>
      <w:r w:rsidR="00C90E20" w:rsidRPr="00E13F63">
        <w:rPr>
          <w:rFonts w:ascii="Arial Narrow" w:hAnsi="Arial Narrow" w:cs="Times New Roman"/>
          <w:i/>
          <w:color w:val="000000"/>
          <w:sz w:val="24"/>
          <w:szCs w:val="24"/>
        </w:rPr>
        <w:t xml:space="preserve">použitých argumentech. Předpokládá, že toto výjimečně použité pojetí nebude působit rušivě.  </w:t>
      </w:r>
      <w:r w:rsidR="00C90E20" w:rsidRPr="00E13F63">
        <w:rPr>
          <w:rFonts w:ascii="Arial Narrow" w:hAnsi="Arial Narrow" w:cs="Times New Roman"/>
          <w:b/>
          <w:color w:val="000000"/>
          <w:sz w:val="24"/>
          <w:szCs w:val="24"/>
        </w:rPr>
        <w:t xml:space="preserve"> </w:t>
      </w:r>
      <w:r w:rsidR="00B213F3" w:rsidRPr="00E13F63">
        <w:rPr>
          <w:rFonts w:ascii="Arial Narrow" w:hAnsi="Arial Narrow" w:cs="Times New Roman"/>
          <w:b/>
          <w:color w:val="000000"/>
          <w:sz w:val="24"/>
          <w:szCs w:val="24"/>
        </w:rPr>
        <w:t xml:space="preserve">         </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b/>
        </w:rPr>
        <w:t xml:space="preserve">Zadání: </w:t>
      </w:r>
      <w:r w:rsidRPr="00E13F63">
        <w:rPr>
          <w:rFonts w:ascii="Arial Narrow" w:hAnsi="Arial Narrow" w:cs="Times New Roman"/>
        </w:rPr>
        <w:t xml:space="preserve">Cílem sestavení </w:t>
      </w:r>
      <w:r w:rsidRPr="00E13F63">
        <w:rPr>
          <w:rFonts w:ascii="Arial Narrow" w:hAnsi="Arial Narrow" w:cs="Times New Roman"/>
          <w:bCs/>
        </w:rPr>
        <w:t xml:space="preserve">bilance zdrojů VŠ </w:t>
      </w:r>
      <w:r w:rsidRPr="00E13F63">
        <w:rPr>
          <w:rFonts w:ascii="Arial Narrow" w:hAnsi="Arial Narrow" w:cs="Times New Roman"/>
        </w:rPr>
        <w:t xml:space="preserve">je nalézt, pojmenovat a zaznamenat přehled všech zdrojů, které budete při naplňování cílů svého strategického plánu potřebovat (detaily viz KREDO_Úkol č. 6_Zadání.pdf). </w:t>
      </w:r>
    </w:p>
    <w:p w:rsidR="00663B94"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Toto shrnutí se snaží v rámci daných omezení zobecnit pohledy jednotlivých VŠ. Přitom je snaha důsledně respektovat závazek, že individuální údaje jednotlivých VŠ jsou důvěrn</w:t>
      </w:r>
      <w:r w:rsidR="00663B94">
        <w:rPr>
          <w:rFonts w:ascii="Arial Narrow" w:hAnsi="Arial Narrow" w:cs="Times New Roman"/>
          <w:i/>
        </w:rPr>
        <w:t>é a nebudou nikde zveřejňovány.</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b/>
        </w:rPr>
        <w:t xml:space="preserve">Upřesnění: </w:t>
      </w:r>
      <w:r w:rsidRPr="00E13F63">
        <w:rPr>
          <w:rFonts w:ascii="Arial Narrow" w:hAnsi="Arial Narrow" w:cs="Times New Roman"/>
        </w:rPr>
        <w:t>Z důvodu zpracování souhrnného pohledu na stávající a požadované zdroje za všechny zúčastněné vysoké školy byly VŠ požádány, aby pro své jednotlivé strategické priority cílových roků 2020 a 2030 bilancovaly zdroje: lidské zdroje – zaměstnanci, lidské zdroje – studenti, finanční prostředky, prostorové požadavky (budovy, jejich stav, údržba, obnova apod.), přístrojové vybavení, informační zdroje (knihovny, elektronické informační zdroje), informační technologie (sítě, HW, SW). Bylo možné k těmto zdrojům přidat další.</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 xml:space="preserve">Shrnutí respektuje toto a další členění. </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b/>
        </w:rPr>
        <w:t xml:space="preserve">Souvislosti: </w:t>
      </w:r>
      <w:r w:rsidRPr="00E13F63">
        <w:rPr>
          <w:rFonts w:ascii="Arial Narrow" w:hAnsi="Arial Narrow" w:cs="Times New Roman"/>
        </w:rPr>
        <w:t xml:space="preserve">Celý úkol č. 6 měl ve svém zadání dvě části, bilanci zdrojů a analýzu rizik, které byly zpracovány do dvou různých, ale úzce propojených dokumentů. Proto byly na VŠ obě části zpracovávány souběžně s ohledem na obsah a dopady obou částí navzájem. Zároveň plnění úkolu č. 6 na VŠ souviselo s přípravou dalších podkladů a zásadní je jeho návaznost na sestavení strategického plánu rozvoje VŠ.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lastRenderedPageBreak/>
        <w:t>Shrnutí se snaží podchytit některé souvislosti pouze indikativním a doporučujícím způsobem, což odpovídá době zpracování, heterogenitě a rozsahu dalších souvisejících zdrojů. Ne všechny VŠ participovaly na všech úkolech (dokonce ani v případě řešení obou částí úkolu č. 6). Podobně nebylo obsáhleji zahrnuto zpracování podkladu z VŠ, kde zpracovávající týmy VŠ uvedly názvy dokumentů nebo jiných informačních zdrojů, ze kterých při bilanci zdrojů (a také při analýze rizik) vycházely.</w:t>
      </w:r>
    </w:p>
    <w:p w:rsidR="00B10403" w:rsidRDefault="00B10403">
      <w:pPr>
        <w:spacing w:after="0" w:line="240" w:lineRule="auto"/>
        <w:rPr>
          <w:rFonts w:ascii="Arial Narrow" w:hAnsi="Arial Narrow" w:cs="Times New Roman"/>
          <w:b/>
          <w:color w:val="000000"/>
          <w:sz w:val="24"/>
          <w:szCs w:val="24"/>
        </w:rPr>
      </w:pPr>
      <w:r>
        <w:rPr>
          <w:rFonts w:ascii="Arial Narrow" w:hAnsi="Arial Narrow" w:cs="Times New Roman"/>
          <w:b/>
        </w:rPr>
        <w:br w:type="page"/>
      </w:r>
    </w:p>
    <w:p w:rsidR="00B10403" w:rsidRDefault="00B10403" w:rsidP="00B10403">
      <w:pPr>
        <w:pStyle w:val="Nadpis1"/>
        <w:rPr>
          <w:noProof/>
          <w:sz w:val="36"/>
          <w:szCs w:val="36"/>
        </w:rPr>
      </w:pPr>
      <w:bookmarkStart w:id="2" w:name="_Toc424296454"/>
      <w:r>
        <w:lastRenderedPageBreak/>
        <w:t xml:space="preserve">Vyhodnocení úkolu č. 6 </w:t>
      </w:r>
      <w:r w:rsidRPr="00B10403">
        <w:t>část „bilance zdrojů VŠ“</w:t>
      </w:r>
      <w:bookmarkEnd w:id="2"/>
    </w:p>
    <w:p w:rsidR="00B10403" w:rsidRDefault="00B10403" w:rsidP="00B85C5E">
      <w:pPr>
        <w:pStyle w:val="Default"/>
        <w:spacing w:before="120" w:line="360" w:lineRule="auto"/>
        <w:jc w:val="both"/>
        <w:rPr>
          <w:rFonts w:ascii="Arial Narrow" w:hAnsi="Arial Narrow" w:cs="Times New Roman"/>
          <w:b/>
        </w:rPr>
      </w:pP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 xml:space="preserve">Základní shrnující informace: </w:t>
      </w:r>
      <w:r w:rsidRPr="00E13F63">
        <w:rPr>
          <w:rFonts w:ascii="Arial Narrow" w:hAnsi="Arial Narrow" w:cs="Times New Roman"/>
          <w:i/>
        </w:rPr>
        <w:t xml:space="preserve">Podklady pro plnění tohoto úkolu poskytlo 41 VŠ zapojených do projektu KREDO (19 z 25 veřejných VŠ, přičemž chybějící svojí velikostí a významem představují zásadně větší podíl, 1 z 2 státních a 21 soukromých VŠ). </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b/>
        </w:rPr>
        <w:t xml:space="preserve">Kvalita vstupních dat: </w:t>
      </w:r>
      <w:r w:rsidRPr="00E13F63">
        <w:rPr>
          <w:rFonts w:ascii="Arial Narrow" w:hAnsi="Arial Narrow" w:cs="Times New Roman"/>
        </w:rPr>
        <w:t>Je uvedena přehledně na základě expertního (subjektivního) posouzení pomocí následujících obrázků.</w:t>
      </w:r>
    </w:p>
    <w:p w:rsidR="00B85C5E" w:rsidRPr="00E13F63" w:rsidRDefault="0080708A" w:rsidP="00B85C5E">
      <w:pPr>
        <w:pStyle w:val="Default"/>
        <w:spacing w:before="120" w:line="360" w:lineRule="auto"/>
        <w:jc w:val="center"/>
        <w:rPr>
          <w:rFonts w:ascii="Arial Narrow" w:hAnsi="Arial Narrow"/>
        </w:rPr>
      </w:pPr>
      <w:r w:rsidRPr="00E13F63">
        <w:rPr>
          <w:rFonts w:ascii="Arial Narrow" w:hAnsi="Arial Narrow"/>
        </w:rPr>
        <w:object w:dxaOrig="8640" w:dyaOrig="5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14.5pt" o:ole="">
            <v:imagedata r:id="rId8" o:title=""/>
          </v:shape>
          <o:OLEObject Type="Embed" ProgID="MtbGraph.Document.15" ShapeID="_x0000_i1025" DrawAspect="Content" ObjectID="_1506887142" r:id="rId9"/>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 xml:space="preserve">Obr. 1: Histogram kvality textového zpracování. </w:t>
      </w:r>
    </w:p>
    <w:p w:rsidR="00B85C5E" w:rsidRPr="00DF0FDE"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 xml:space="preserve">Úroveň textového zpracování rovnoměrně kolísá (hodnoceno „expertně“ na škále 1-10, kde 10 představuje nejlepší hodnocení), převládají stručné glosy (viz četnost hodnocení 3). Výstižné glosy některých VŠ byly dále plně využity v textu, zejména pro řadu doporučení, a to častěji než bylo očekáváno s ohledem na kvantitativní povahu vyžádaných dat. Tím byl částečně kompenzován problém, který při zpracování nastal s heterogenitou zpracovávaných dat. </w:t>
      </w:r>
      <w:r w:rsidR="00DF0FDE">
        <w:rPr>
          <w:rFonts w:ascii="Arial Narrow" w:hAnsi="Arial Narrow" w:cs="Times New Roman"/>
          <w:i/>
        </w:rPr>
        <w:t>Použitá finální škála hodnocení</w:t>
      </w:r>
      <w:r w:rsidR="002671DD">
        <w:rPr>
          <w:rFonts w:ascii="Arial Narrow" w:hAnsi="Arial Narrow" w:cs="Times New Roman"/>
          <w:i/>
        </w:rPr>
        <w:t xml:space="preserve"> u </w:t>
      </w:r>
      <w:r w:rsidR="00804771">
        <w:rPr>
          <w:rFonts w:ascii="Arial Narrow" w:hAnsi="Arial Narrow" w:cs="Times New Roman"/>
          <w:i/>
        </w:rPr>
        <w:t>souvisejících histogramů</w:t>
      </w:r>
      <w:r w:rsidR="00DF0FDE">
        <w:rPr>
          <w:rFonts w:ascii="Arial Narrow" w:hAnsi="Arial Narrow" w:cs="Times New Roman"/>
          <w:i/>
        </w:rPr>
        <w:t>: 1 - přes</w:t>
      </w:r>
      <w:r w:rsidR="002671DD">
        <w:rPr>
          <w:rFonts w:ascii="Arial Narrow" w:hAnsi="Arial Narrow" w:cs="Times New Roman"/>
          <w:i/>
        </w:rPr>
        <w:t>příliš stručné</w:t>
      </w:r>
      <w:r w:rsidR="00DF0FDE">
        <w:rPr>
          <w:rFonts w:ascii="Arial Narrow" w:hAnsi="Arial Narrow" w:cs="Times New Roman"/>
          <w:i/>
        </w:rPr>
        <w:t>, 2 - podprůměrné zpracování, 3 - stručné glosy</w:t>
      </w:r>
      <w:r w:rsidR="002671DD">
        <w:rPr>
          <w:rFonts w:ascii="Arial Narrow" w:hAnsi="Arial Narrow" w:cs="Times New Roman"/>
          <w:i/>
        </w:rPr>
        <w:t xml:space="preserve"> a údaje</w:t>
      </w:r>
      <w:r w:rsidR="00DF0FDE">
        <w:rPr>
          <w:rFonts w:ascii="Arial Narrow" w:hAnsi="Arial Narrow" w:cs="Times New Roman"/>
          <w:i/>
        </w:rPr>
        <w:t xml:space="preserve">, 4 – mírně podprůměrné zpracování, 5 - průměrné zpracování, 6 – mírně </w:t>
      </w:r>
      <w:r w:rsidR="002671DD">
        <w:rPr>
          <w:rFonts w:ascii="Arial Narrow" w:hAnsi="Arial Narrow" w:cs="Times New Roman"/>
          <w:i/>
        </w:rPr>
        <w:t xml:space="preserve">nadprůměrné </w:t>
      </w:r>
      <w:r w:rsidR="00DF0FDE">
        <w:rPr>
          <w:rFonts w:ascii="Arial Narrow" w:hAnsi="Arial Narrow" w:cs="Times New Roman"/>
          <w:i/>
        </w:rPr>
        <w:t>zpracování, 7- nadprůměrné zpracování, 8 - velmi dobré zpracování, 9 výborné zpracování – drobné výhrady, 10 vynikající podrobné zpracování – bez výhrad</w:t>
      </w:r>
      <w:r w:rsidR="00804771">
        <w:rPr>
          <w:rFonts w:ascii="Arial Narrow" w:hAnsi="Arial Narrow" w:cs="Times New Roman"/>
          <w:i/>
        </w:rPr>
        <w:t>.</w:t>
      </w:r>
    </w:p>
    <w:p w:rsidR="00B85C5E" w:rsidRPr="00E13F63" w:rsidRDefault="00B85C5E" w:rsidP="00B85C5E">
      <w:pPr>
        <w:pStyle w:val="Default"/>
        <w:spacing w:before="120" w:line="360" w:lineRule="auto"/>
        <w:jc w:val="center"/>
        <w:rPr>
          <w:rFonts w:ascii="Arial Narrow" w:hAnsi="Arial Narrow" w:cs="Times New Roman"/>
          <w:i/>
        </w:rPr>
      </w:pPr>
      <w:r w:rsidRPr="00E13F63">
        <w:rPr>
          <w:rFonts w:ascii="Arial Narrow" w:hAnsi="Arial Narrow"/>
        </w:rPr>
        <w:object w:dxaOrig="8640" w:dyaOrig="5760">
          <v:shape id="_x0000_i1026" type="#_x0000_t75" style="width:402pt;height:243pt" o:ole="">
            <v:imagedata r:id="rId10" o:title=""/>
          </v:shape>
          <o:OLEObject Type="Embed" ProgID="MtbGraph.Document.15" ShapeID="_x0000_i1026" DrawAspect="Content" ObjectID="_1506887143" r:id="rId11"/>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 xml:space="preserve">Obr. 2: Histogram kvality číselného zpracování. </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 xml:space="preserve">Histogram kvality číselného zpracování ukazuje na pečlivé </w:t>
      </w:r>
      <w:r w:rsidR="002671DD">
        <w:rPr>
          <w:rFonts w:ascii="Arial Narrow" w:hAnsi="Arial Narrow" w:cs="Times New Roman"/>
          <w:i/>
          <w:sz w:val="24"/>
          <w:szCs w:val="24"/>
        </w:rPr>
        <w:t xml:space="preserve">a výborné </w:t>
      </w:r>
      <w:r w:rsidRPr="00E13F63">
        <w:rPr>
          <w:rFonts w:ascii="Arial Narrow" w:hAnsi="Arial Narrow" w:cs="Times New Roman"/>
          <w:i/>
          <w:sz w:val="24"/>
          <w:szCs w:val="24"/>
        </w:rPr>
        <w:t>(viz hodnocení 9 a 10) a průměrné zpracování (variabilita od 4 do 7), výjimka existuje (0), ale je kompenzována důrazem na kvalitní zpracování textu. Histogram nepřímo dokládá heterogenitu zmiňovanou dále.</w:t>
      </w:r>
    </w:p>
    <w:p w:rsidR="00B85C5E" w:rsidRPr="00E13F63" w:rsidRDefault="00B85C5E" w:rsidP="00B85C5E">
      <w:pPr>
        <w:jc w:val="center"/>
        <w:rPr>
          <w:rFonts w:ascii="Arial Narrow" w:hAnsi="Arial Narrow" w:cs="Times New Roman"/>
          <w:i/>
          <w:sz w:val="24"/>
          <w:szCs w:val="24"/>
        </w:rPr>
      </w:pPr>
      <w:r w:rsidRPr="00E13F63">
        <w:rPr>
          <w:rFonts w:ascii="Arial Narrow" w:hAnsi="Arial Narrow"/>
        </w:rPr>
        <w:object w:dxaOrig="8640" w:dyaOrig="5760">
          <v:shape id="_x0000_i1027" type="#_x0000_t75" style="width:6in;height:233.25pt" o:ole="">
            <v:imagedata r:id="rId12" o:title=""/>
          </v:shape>
          <o:OLEObject Type="Embed" ProgID="MtbGraph.Document.15" ShapeID="_x0000_i1027" DrawAspect="Content" ObjectID="_1506887144" r:id="rId13"/>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3: Histogram podrobnosti zpracování.</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lastRenderedPageBreak/>
        <w:t>Histogram podrobnosti zpracování shrnuje, jak autoři z VŠ kladli důraz na podrobné pojetí zpracování poskytnutých vstupů (opět posouzeno expertně – subjektivně na základě srovnání). Histogram opět potvrzuje nepřímo heterogenitu dat a zejména existenci chybějících dat (s velkou variabilitou viz 3-8).</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b/>
        </w:rPr>
        <w:t xml:space="preserve">Heterogenita dat: </w:t>
      </w:r>
      <w:r w:rsidRPr="00E13F63">
        <w:rPr>
          <w:rFonts w:ascii="Arial Narrow" w:hAnsi="Arial Narrow" w:cs="Times New Roman"/>
          <w:i/>
        </w:rPr>
        <w:t>Přes doporučení:</w:t>
      </w:r>
      <w:r w:rsidRPr="00E13F63">
        <w:rPr>
          <w:rFonts w:ascii="Arial Narrow" w:hAnsi="Arial Narrow" w:cs="Times New Roman"/>
        </w:rPr>
        <w:t xml:space="preserve"> „Při uvádění číselných nebo finančních údajů uvádějte, prosím, u cílových roků 2020 a 2030 hodnotu nárůstu (nebo poklesu) jako rozdíl mezi hodnotami roku 2020 vůči současnosti a jako rozdíl mezi roky 2030 a 2020.“ </w:t>
      </w:r>
      <w:r w:rsidRPr="00E13F63">
        <w:rPr>
          <w:rFonts w:ascii="Arial Narrow" w:hAnsi="Arial Narrow" w:cs="Times New Roman"/>
          <w:i/>
        </w:rPr>
        <w:t>jsou v tabulkách některých VŠ nikoliv rozdíly, ale absolutní čísla, někdy zadaná jako textové řetězce. Rovněž uvedená čísla se někdy vztahují pouze k aktivitě plánované k dosažení stanoveného cíle, jindy i k souvisejícím nebo všem činnostem celé VŠ.</w:t>
      </w:r>
      <w:r w:rsidRPr="00E13F63">
        <w:rPr>
          <w:rFonts w:ascii="Arial Narrow" w:hAnsi="Arial Narrow" w:cs="Times New Roman"/>
        </w:rPr>
        <w:t xml:space="preserve">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Zajímavou možností proto je pokusit se identifikovat některé zmíněné problémy s úplností a homogenitou sebraných dat kvantitativně.</w:t>
      </w:r>
    </w:p>
    <w:p w:rsidR="00B85C5E" w:rsidRPr="00E13F63" w:rsidRDefault="00B85C5E" w:rsidP="00B85C5E">
      <w:pPr>
        <w:pStyle w:val="Default"/>
        <w:spacing w:before="120" w:line="360" w:lineRule="auto"/>
        <w:jc w:val="center"/>
        <w:rPr>
          <w:rFonts w:ascii="Arial Narrow" w:hAnsi="Arial Narrow"/>
        </w:rPr>
      </w:pPr>
      <w:r w:rsidRPr="00E13F63">
        <w:rPr>
          <w:rFonts w:ascii="Arial Narrow" w:hAnsi="Arial Narrow"/>
        </w:rPr>
        <w:object w:dxaOrig="8640" w:dyaOrig="5760">
          <v:shape id="_x0000_i1028" type="#_x0000_t75" style="width:6in;height:213.75pt" o:ole="">
            <v:imagedata r:id="rId14" o:title=""/>
          </v:shape>
          <o:OLEObject Type="Embed" ProgID="MtbGraph.Document.15" ShapeID="_x0000_i1028" DrawAspect="Content" ObjectID="_1506887145" r:id="rId15"/>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4: Četnosti rozdílů v číselných vstupech (v tabulkách některých VŠ jsou nikoliv rozdíly, ale absolutní čísla).</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Histogram identifikuje případy, kdy čísla jsou uvedena korektně (rozdílové informace = 0) a dále případy, kdy je část čísel uvedena buď odlišně (=1), nebo zcela odlišně (=2). Nutné opravy samozřejmě ztížily zpracování.</w:t>
      </w:r>
    </w:p>
    <w:p w:rsidR="00B85C5E" w:rsidRPr="00E13F63" w:rsidRDefault="00B85C5E" w:rsidP="00B85C5E">
      <w:pPr>
        <w:pStyle w:val="Default"/>
        <w:spacing w:before="120" w:line="360" w:lineRule="auto"/>
        <w:jc w:val="center"/>
        <w:rPr>
          <w:rFonts w:ascii="Arial Narrow" w:hAnsi="Arial Narrow"/>
        </w:rPr>
      </w:pPr>
      <w:r w:rsidRPr="00E13F63">
        <w:rPr>
          <w:rFonts w:ascii="Arial Narrow" w:hAnsi="Arial Narrow"/>
        </w:rPr>
        <w:object w:dxaOrig="8640" w:dyaOrig="5760">
          <v:shape id="_x0000_i1029" type="#_x0000_t75" style="width:6in;height:216.75pt" o:ole="">
            <v:imagedata r:id="rId16" o:title=""/>
          </v:shape>
          <o:OLEObject Type="Embed" ProgID="MtbGraph.Document.15" ShapeID="_x0000_i1029" DrawAspect="Content" ObjectID="_1506887146" r:id="rId17"/>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5: Četnosti rozdílů ve vztažení číselných údajů.</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 xml:space="preserve">Uvedená čísla se někdy vztahují pouze k aktivitě plánované k dosažení stanoveného cíle (=0), jindy i k souvisejícím (=1 – subjektivně identifikováno) nebo všem činnostem celé VŠ (=2). Ukázalo se značně sporně opravitelné, vedlo k redukci možných variant hodnocení. </w:t>
      </w:r>
    </w:p>
    <w:p w:rsidR="00B10403" w:rsidRDefault="00B85C5E" w:rsidP="00B10403">
      <w:pPr>
        <w:pStyle w:val="Default"/>
        <w:spacing w:before="120" w:line="360" w:lineRule="auto"/>
        <w:jc w:val="both"/>
        <w:rPr>
          <w:rFonts w:ascii="Arial Narrow" w:hAnsi="Arial Narrow" w:cs="Times New Roman"/>
          <w:i/>
        </w:rPr>
      </w:pPr>
      <w:r w:rsidRPr="00E13F63">
        <w:rPr>
          <w:rFonts w:ascii="Arial Narrow" w:hAnsi="Arial Narrow" w:cs="Times New Roman"/>
          <w:i/>
        </w:rPr>
        <w:t>Přes další doporučení:</w:t>
      </w:r>
      <w:r w:rsidRPr="00E13F63">
        <w:rPr>
          <w:rFonts w:ascii="Arial Narrow" w:hAnsi="Arial Narrow" w:cs="Times New Roman"/>
        </w:rPr>
        <w:t xml:space="preserve"> „Číselné údaje uvádějte přednostně, pouze v těch případech, kdy nelze použít kvantitativní ukazatel, můžete použít slovní popis s možností podrobnějšího popisu v poznámce.“ </w:t>
      </w:r>
      <w:r w:rsidRPr="00E13F63">
        <w:rPr>
          <w:rFonts w:ascii="Arial Narrow" w:hAnsi="Arial Narrow" w:cs="Times New Roman"/>
          <w:i/>
        </w:rPr>
        <w:t>opět některé VŠ (odůvodněně) uvádějí většinově textové údaje.</w:t>
      </w:r>
    </w:p>
    <w:p w:rsidR="00B10403" w:rsidRDefault="00B10403">
      <w:pPr>
        <w:spacing w:after="0" w:line="240" w:lineRule="auto"/>
        <w:rPr>
          <w:rFonts w:ascii="Arial Narrow" w:hAnsi="Arial Narrow" w:cs="Times New Roman"/>
          <w:i/>
          <w:color w:val="000000"/>
          <w:sz w:val="24"/>
          <w:szCs w:val="24"/>
        </w:rPr>
      </w:pPr>
      <w:r>
        <w:rPr>
          <w:rFonts w:ascii="Arial Narrow" w:hAnsi="Arial Narrow" w:cs="Times New Roman"/>
          <w:i/>
        </w:rPr>
        <w:br w:type="page"/>
      </w:r>
    </w:p>
    <w:p w:rsidR="00B85C5E" w:rsidRPr="00E13F63" w:rsidRDefault="00B85C5E" w:rsidP="00B85C5E">
      <w:pPr>
        <w:jc w:val="center"/>
        <w:rPr>
          <w:rFonts w:ascii="Arial Narrow" w:hAnsi="Arial Narrow" w:cs="Times New Roman"/>
          <w:sz w:val="24"/>
          <w:szCs w:val="24"/>
        </w:rPr>
      </w:pPr>
      <w:r w:rsidRPr="00E13F63">
        <w:rPr>
          <w:rFonts w:ascii="Arial Narrow" w:hAnsi="Arial Narrow"/>
        </w:rPr>
        <w:object w:dxaOrig="8640" w:dyaOrig="5760">
          <v:shape id="_x0000_i1030" type="#_x0000_t75" style="width:6in;height:234.75pt" o:ole="">
            <v:imagedata r:id="rId18" o:title=""/>
          </v:shape>
          <o:OLEObject Type="Embed" ProgID="MtbGraph.Document.15" ShapeID="_x0000_i1030" DrawAspect="Content" ObjectID="_1506887147" r:id="rId19"/>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6: Identifikace formy zpracování dat.</w:t>
      </w:r>
    </w:p>
    <w:p w:rsidR="00B85C5E" w:rsidRPr="00E13F63" w:rsidRDefault="00B85C5E" w:rsidP="00B85C5E">
      <w:pPr>
        <w:jc w:val="both"/>
        <w:rPr>
          <w:rFonts w:ascii="Arial Narrow" w:hAnsi="Arial Narrow" w:cs="Times New Roman"/>
          <w:i/>
          <w:sz w:val="24"/>
          <w:szCs w:val="24"/>
        </w:rPr>
      </w:pPr>
      <w:r w:rsidRPr="00E13F63">
        <w:rPr>
          <w:rFonts w:ascii="Arial Narrow" w:hAnsi="Arial Narrow" w:cs="Times New Roman"/>
          <w:i/>
          <w:sz w:val="24"/>
          <w:szCs w:val="24"/>
        </w:rPr>
        <w:t>Některé VŠ (odůvodněně) uvádějí většinově textové údaje (=2), případně smíšené údaje (=1), ale stále většina uvádí požadované číselné údaje bez nutnosti konverze (=0). Opět tím bylo ztíženo zpracování.</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Kromě prezentovaných shrnutí, která se snaží překonat, případně zohlednit tyto heterogenity s důrazem na opatrnost interpretace souvisejících závěrů, z heterogenit vyplývají metodická doporučení, jak pro jednotlivé VŠ, tak pro budoucí zadavatele, která jsou dále v závěru uvedena.</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 xml:space="preserve">Úplnost dat: </w:t>
      </w:r>
      <w:r w:rsidRPr="00E13F63">
        <w:rPr>
          <w:rFonts w:ascii="Arial Narrow" w:hAnsi="Arial Narrow" w:cs="Times New Roman"/>
          <w:i/>
        </w:rPr>
        <w:t>Problémy s heterogenitou vstupních dat znásobuje i omezená úplnost poskytnutých dat. VŠ se poměrně rozdílně řídily doporučením: „</w:t>
      </w:r>
      <w:r w:rsidRPr="00E13F63">
        <w:rPr>
          <w:rFonts w:ascii="Arial Narrow" w:hAnsi="Arial Narrow" w:cs="Times New Roman"/>
        </w:rPr>
        <w:t xml:space="preserve">Údaje o jednotlivých zdrojích pro danou strategickou prioritu se uvádějí ve všech případech, kdy se zdroj dané priority týká, pokud vazba neexistuje, zůstane buňka nevyplněna.“ </w:t>
      </w:r>
      <w:r w:rsidRPr="00E13F63">
        <w:rPr>
          <w:rFonts w:ascii="Arial Narrow" w:hAnsi="Arial Narrow" w:cs="Times New Roman"/>
          <w:i/>
        </w:rPr>
        <w:t xml:space="preserve"> </w:t>
      </w:r>
      <w:r w:rsidR="00C130A9">
        <w:rPr>
          <w:rFonts w:ascii="Arial Narrow" w:hAnsi="Arial Narrow" w:cs="Times New Roman"/>
          <w:i/>
        </w:rPr>
        <w:t>U</w:t>
      </w:r>
      <w:r w:rsidRPr="00E13F63">
        <w:rPr>
          <w:rFonts w:ascii="Arial Narrow" w:hAnsi="Arial Narrow" w:cs="Times New Roman"/>
          <w:i/>
        </w:rPr>
        <w:t xml:space="preserve">kazuje se, že pro některé srovnatelné strategické priority obdobných VŠ existují rozdílné názory na existenci vazby mezi prioritou a zdrojem. Poměrně podstatnější roli hraje rozdílnost přístupu k identifikaci zdrojů předpokládaného </w:t>
      </w:r>
      <w:r w:rsidRPr="00E13F63">
        <w:rPr>
          <w:rFonts w:ascii="Arial Narrow" w:hAnsi="Arial Narrow" w:cs="Times New Roman"/>
          <w:bCs/>
          <w:i/>
        </w:rPr>
        <w:t xml:space="preserve">pokrytí </w:t>
      </w:r>
      <w:r w:rsidRPr="00E13F63">
        <w:rPr>
          <w:rFonts w:ascii="Arial Narrow" w:hAnsi="Arial Narrow" w:cs="Times New Roman"/>
          <w:i/>
        </w:rPr>
        <w:t>finančních prostředků, které celkem široce využívají výčtovou nabídku v zadání úkolu (tj. interní zdroje včetně příspěvku, rozmanité projektové zdroje, doplňková činnost a smluvní spolupráce). Je zde poměrně úzká souvislost (pouze verbálně identifikovaná) mezi variabilitou zdroje a silou vyjádření VŠ o souvisejícím riziku. Nabízí se zde budoucí posouzení „risk averse“ přístupu jak jednotlivých VŠ, tak celého státu k tak strategické oblasti, jakou je v ČR vysokoškolské vzdělávání.</w:t>
      </w:r>
    </w:p>
    <w:p w:rsidR="00B85C5E" w:rsidRPr="00E13F63" w:rsidRDefault="00B85C5E" w:rsidP="00B85C5E">
      <w:pPr>
        <w:pStyle w:val="Default"/>
        <w:spacing w:before="120" w:line="360" w:lineRule="auto"/>
        <w:jc w:val="both"/>
        <w:rPr>
          <w:rFonts w:ascii="Arial Narrow" w:hAnsi="Arial Narrow"/>
        </w:rPr>
      </w:pPr>
      <w:r w:rsidRPr="00E13F63">
        <w:rPr>
          <w:rFonts w:ascii="Arial Narrow" w:hAnsi="Arial Narrow"/>
        </w:rPr>
        <w:object w:dxaOrig="8640" w:dyaOrig="5760">
          <v:shape id="_x0000_i1031" type="#_x0000_t75" style="width:6in;height:236.25pt" o:ole="">
            <v:imagedata r:id="rId20" o:title=""/>
          </v:shape>
          <o:OLEObject Type="Embed" ProgID="MtbGraph.Document.15" ShapeID="_x0000_i1031" DrawAspect="Content" ObjectID="_1506887148" r:id="rId21"/>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7: Histogram podrobnosti zpracování údajů do 2020.</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Histogram společně s textovými komentáři ukazuje rozdělení do dvou skupin (9-10 pracují s jedním scénářem pro budoucí variabilitu v krátkém horizontu; druhá skupina i při práci s krátkým horizontem výrazně redukuje objem informací s ohledem na uváděné neurčitosti).</w:t>
      </w:r>
    </w:p>
    <w:p w:rsidR="00B85C5E" w:rsidRPr="00E13F63" w:rsidRDefault="00B85C5E" w:rsidP="00B85C5E">
      <w:pPr>
        <w:pStyle w:val="Default"/>
        <w:spacing w:before="120" w:line="360" w:lineRule="auto"/>
        <w:jc w:val="both"/>
        <w:rPr>
          <w:rFonts w:ascii="Arial Narrow" w:hAnsi="Arial Narrow"/>
        </w:rPr>
      </w:pPr>
      <w:r w:rsidRPr="00E13F63">
        <w:rPr>
          <w:rFonts w:ascii="Arial Narrow" w:hAnsi="Arial Narrow"/>
        </w:rPr>
        <w:object w:dxaOrig="8640" w:dyaOrig="5760">
          <v:shape id="_x0000_i1032" type="#_x0000_t75" style="width:6in;height:204pt" o:ole="">
            <v:imagedata r:id="rId22" o:title=""/>
          </v:shape>
          <o:OLEObject Type="Embed" ProgID="MtbGraph.Document.15" ShapeID="_x0000_i1032" DrawAspect="Content" ObjectID="_1506887149" r:id="rId23"/>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8: Histogram podrobnosti zpracování údajů do 2030.</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hAnsi="Arial Narrow" w:cs="Times New Roman"/>
          <w:i/>
          <w:sz w:val="24"/>
          <w:szCs w:val="24"/>
        </w:rPr>
        <w:t xml:space="preserve">Histogram společně s textovými komentáři opět ukazuje rozdělení do dvou skupin – viz tvar U-rozdělení (9-10 stále pracují s jedním scénářem pro budoucí variabilitu v dlouhém horizontu; druhá skupina 0-8 při </w:t>
      </w:r>
      <w:r w:rsidRPr="00E13F63">
        <w:rPr>
          <w:rFonts w:ascii="Arial Narrow" w:hAnsi="Arial Narrow" w:cs="Times New Roman"/>
          <w:i/>
          <w:sz w:val="24"/>
          <w:szCs w:val="24"/>
        </w:rPr>
        <w:lastRenderedPageBreak/>
        <w:t xml:space="preserve">práci s dlouhým horizontem výrazně redukuje objem informací s ohledem na uváděné neurčitosti, ale zejména významný počet zcela rezignuje na uvádění jakýchkoliv predikujících informací). K tomu jsou proto v závěrech uvedena shrnující doporučení - </w:t>
      </w:r>
      <w:r w:rsidRPr="00E13F63">
        <w:rPr>
          <w:rFonts w:ascii="Arial Narrow" w:eastAsia="Times New Roman" w:hAnsi="Arial Narrow" w:cs="Times New Roman"/>
          <w:b/>
          <w:i/>
          <w:sz w:val="24"/>
          <w:szCs w:val="24"/>
        </w:rPr>
        <w:t xml:space="preserve">VŠ Bod 2: </w:t>
      </w:r>
      <w:r w:rsidRPr="00E13F63">
        <w:rPr>
          <w:rFonts w:ascii="Arial Narrow" w:eastAsia="Times New Roman" w:hAnsi="Arial Narrow" w:cs="Times New Roman"/>
          <w:sz w:val="24"/>
          <w:szCs w:val="24"/>
        </w:rPr>
        <w:t>Pracovat s neurčitostí vnějšího prostředí pomocí více scénářů</w:t>
      </w:r>
      <w:r w:rsidRPr="00E13F63">
        <w:rPr>
          <w:rFonts w:ascii="Arial Narrow" w:eastAsia="Times New Roman" w:hAnsi="Arial Narrow" w:cs="Times New Roman"/>
          <w:i/>
          <w:sz w:val="24"/>
          <w:szCs w:val="24"/>
        </w:rPr>
        <w:t xml:space="preserve"> a </w:t>
      </w:r>
      <w:r w:rsidRPr="00E13F63">
        <w:rPr>
          <w:rFonts w:ascii="Arial Narrow" w:eastAsia="Times New Roman" w:hAnsi="Arial Narrow" w:cs="Times New Roman"/>
          <w:b/>
          <w:i/>
          <w:sz w:val="24"/>
          <w:szCs w:val="24"/>
        </w:rPr>
        <w:t>VŠ Bod 6:</w:t>
      </w:r>
      <w:r w:rsidRPr="00E13F63">
        <w:rPr>
          <w:rFonts w:ascii="Arial Narrow" w:eastAsia="Times New Roman" w:hAnsi="Arial Narrow" w:cs="Times New Roman"/>
          <w:i/>
          <w:sz w:val="24"/>
          <w:szCs w:val="24"/>
        </w:rPr>
        <w:t xml:space="preserve"> </w:t>
      </w:r>
      <w:r w:rsidRPr="00E13F63">
        <w:rPr>
          <w:rFonts w:ascii="Arial Narrow" w:eastAsia="Times New Roman" w:hAnsi="Arial Narrow" w:cs="Times New Roman"/>
          <w:sz w:val="24"/>
          <w:szCs w:val="24"/>
        </w:rPr>
        <w:t>Při strategickém řízení zohledňovat budoucí neurčitost – robustnost rozhodnutí</w:t>
      </w:r>
      <w:r w:rsidRPr="00E13F63">
        <w:rPr>
          <w:rFonts w:ascii="Arial Narrow" w:eastAsia="Times New Roman" w:hAnsi="Arial Narrow" w:cs="Times New Roman"/>
          <w:i/>
          <w:sz w:val="24"/>
          <w:szCs w:val="24"/>
        </w:rPr>
        <w:t xml:space="preserve"> a </w:t>
      </w:r>
      <w:r w:rsidRPr="00E13F63">
        <w:rPr>
          <w:rFonts w:ascii="Arial Narrow" w:eastAsia="Times New Roman" w:hAnsi="Arial Narrow" w:cs="Times New Roman"/>
          <w:b/>
          <w:i/>
          <w:sz w:val="24"/>
          <w:szCs w:val="24"/>
        </w:rPr>
        <w:t>VŠ</w:t>
      </w:r>
      <w:r w:rsidRPr="00E13F63">
        <w:rPr>
          <w:rFonts w:ascii="Arial Narrow" w:eastAsia="Times New Roman" w:hAnsi="Arial Narrow" w:cs="Times New Roman"/>
          <w:i/>
          <w:sz w:val="24"/>
          <w:szCs w:val="24"/>
        </w:rPr>
        <w:t xml:space="preserve"> </w:t>
      </w:r>
      <w:r w:rsidRPr="00E13F63">
        <w:rPr>
          <w:rFonts w:ascii="Arial Narrow" w:eastAsia="Times New Roman" w:hAnsi="Arial Narrow" w:cs="Times New Roman"/>
          <w:b/>
          <w:i/>
          <w:sz w:val="24"/>
          <w:szCs w:val="24"/>
        </w:rPr>
        <w:t>Bod 8:</w:t>
      </w:r>
      <w:r w:rsidRPr="00E13F63">
        <w:rPr>
          <w:rFonts w:ascii="Arial Narrow" w:eastAsia="Times New Roman" w:hAnsi="Arial Narrow" w:cs="Times New Roman"/>
          <w:i/>
          <w:sz w:val="24"/>
          <w:szCs w:val="24"/>
        </w:rPr>
        <w:t xml:space="preserve"> </w:t>
      </w:r>
      <w:r w:rsidRPr="00E13F63">
        <w:rPr>
          <w:rFonts w:ascii="Arial Narrow" w:eastAsia="Times New Roman" w:hAnsi="Arial Narrow" w:cs="Times New Roman"/>
          <w:sz w:val="24"/>
          <w:szCs w:val="24"/>
        </w:rPr>
        <w:t>Strategické řízení doplňovat v rozumné míře adaptivním</w:t>
      </w:r>
      <w:r w:rsidRPr="00E13F63">
        <w:rPr>
          <w:rFonts w:ascii="Arial Narrow" w:eastAsia="Times New Roman" w:hAnsi="Arial Narrow" w:cs="Times New Roman"/>
          <w:i/>
          <w:sz w:val="24"/>
          <w:szCs w:val="24"/>
        </w:rPr>
        <w:t xml:space="preserve">.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 xml:space="preserve">Reprezentativnost dat: </w:t>
      </w:r>
      <w:r w:rsidRPr="00E13F63">
        <w:rPr>
          <w:rFonts w:ascii="Arial Narrow" w:hAnsi="Arial Narrow" w:cs="Times New Roman"/>
          <w:i/>
        </w:rPr>
        <w:t>S ohledem na to, že sběru v projektu KREDO se neúčastní některé významné VVŠ</w:t>
      </w:r>
      <w:r w:rsidRPr="00E13F63">
        <w:rPr>
          <w:rFonts w:ascii="Arial Narrow" w:hAnsi="Arial Narrow" w:cs="Times New Roman"/>
        </w:rPr>
        <w:t xml:space="preserve">, </w:t>
      </w:r>
      <w:r w:rsidRPr="00E13F63">
        <w:rPr>
          <w:rFonts w:ascii="Arial Narrow" w:hAnsi="Arial Narrow" w:cs="Times New Roman"/>
          <w:i/>
        </w:rPr>
        <w:t xml:space="preserve">je vhodné přistupovat k výsledkům shrnutí se vší opatrností, zejména při jejich zobecňování, interpretaci a případné implementaci. Obdobně lze doporučit, aby případná vystoupení zástupců neúčastnících se VŠ  nebyla a priori kritická a zvážilo se posouzení dosahu některých závěrů. Uvedená shrnutí by však mohla i přes důslednou anonymitu závěrů (ve vztahu ke konkrétním VŠ – viz zadání) poskytnout určitou zpětnou vazbu jednotlivým VŠ (účastnícím se i neúčastnícím se) a i možnou inspiraci např. MŠMT v oblasti strategických plánů. </w:t>
      </w:r>
      <w:r w:rsidRPr="00CA7EE5">
        <w:rPr>
          <w:rFonts w:ascii="Arial Narrow" w:hAnsi="Arial Narrow" w:cs="Times New Roman"/>
          <w:i/>
        </w:rPr>
        <w:t xml:space="preserve">Obdobné možnosti jako pro neúčastnící se VŠ mohou pak platit pro reprezentace VŠ, kdy i jejich stanoviska mohou být ovlivněna účastí nebo neúčastí vysokých škol </w:t>
      </w:r>
      <w:r w:rsidR="00CA7EE5" w:rsidRPr="00CA7EE5">
        <w:rPr>
          <w:rFonts w:ascii="Arial Narrow" w:hAnsi="Arial Narrow" w:cs="Times New Roman"/>
          <w:i/>
        </w:rPr>
        <w:t xml:space="preserve">jako </w:t>
      </w:r>
      <w:r w:rsidRPr="00CA7EE5">
        <w:rPr>
          <w:rFonts w:ascii="Arial Narrow" w:hAnsi="Arial Narrow" w:cs="Times New Roman"/>
          <w:i/>
        </w:rPr>
        <w:t>členů předsednictev ČKR a RVŠ.</w:t>
      </w:r>
      <w:r w:rsidRPr="00E13F63">
        <w:rPr>
          <w:rFonts w:ascii="Arial Narrow" w:hAnsi="Arial Narrow" w:cs="Times New Roman"/>
          <w:i/>
        </w:rPr>
        <w:t xml:space="preserve">  </w:t>
      </w:r>
      <w:r w:rsidRPr="00E13F63">
        <w:rPr>
          <w:rFonts w:ascii="Arial Narrow" w:hAnsi="Arial Narrow" w:cs="Times New Roman"/>
        </w:rPr>
        <w:t xml:space="preserve">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 xml:space="preserve">Doplňující zdroje: </w:t>
      </w:r>
      <w:r w:rsidRPr="00E13F63">
        <w:rPr>
          <w:rFonts w:ascii="Arial Narrow" w:hAnsi="Arial Narrow" w:cs="Times New Roman"/>
          <w:i/>
        </w:rPr>
        <w:t>Z výše uvedených postřehů k heterogenitě, úplnosti a reprezentativnosti dat je možné dále doplnit a porovnat získané informace VŠ s vybranými ukazateli zahrnutými v rozpočtech VŠ (dostupné z www MŠMT). Na tyto případy pak lze explicitně poukázat (</w:t>
      </w:r>
      <w:r w:rsidR="00DC28D6" w:rsidRPr="00E13F63">
        <w:rPr>
          <w:rFonts w:ascii="Arial Narrow" w:hAnsi="Arial Narrow" w:cs="Times New Roman"/>
          <w:i/>
        </w:rPr>
        <w:t xml:space="preserve">s ohledem na obsah zpracovávaných tabulek </w:t>
      </w:r>
      <w:r w:rsidRPr="00E13F63">
        <w:rPr>
          <w:rFonts w:ascii="Arial Narrow" w:hAnsi="Arial Narrow" w:cs="Times New Roman"/>
          <w:i/>
        </w:rPr>
        <w:t xml:space="preserve">připadají do úvahy pouze počty studentů dle ukazatele A </w:t>
      </w:r>
      <w:proofErr w:type="spellStart"/>
      <w:r w:rsidRPr="00E13F63">
        <w:rPr>
          <w:rFonts w:ascii="Arial Narrow" w:hAnsi="Arial Narrow" w:cs="Times New Roman"/>
          <w:i/>
        </w:rPr>
        <w:t>a</w:t>
      </w:r>
      <w:proofErr w:type="spellEnd"/>
      <w:r w:rsidRPr="00E13F63">
        <w:rPr>
          <w:rFonts w:ascii="Arial Narrow" w:hAnsi="Arial Narrow" w:cs="Times New Roman"/>
          <w:i/>
        </w:rPr>
        <w:t xml:space="preserve"> přidělené finance</w:t>
      </w:r>
      <w:r w:rsidR="00DC28D6" w:rsidRPr="00E13F63">
        <w:rPr>
          <w:rFonts w:ascii="Arial Narrow" w:hAnsi="Arial Narrow" w:cs="Times New Roman"/>
          <w:i/>
        </w:rPr>
        <w:t xml:space="preserve">; v budoucnu lze zřejmě využít i </w:t>
      </w:r>
      <w:r w:rsidR="00840385" w:rsidRPr="00E13F63">
        <w:rPr>
          <w:rFonts w:ascii="Arial Narrow" w:hAnsi="Arial Narrow" w:cs="Times New Roman"/>
          <w:i/>
        </w:rPr>
        <w:t xml:space="preserve">další </w:t>
      </w:r>
      <w:r w:rsidR="00DC28D6" w:rsidRPr="00E13F63">
        <w:rPr>
          <w:rFonts w:ascii="Arial Narrow" w:hAnsi="Arial Narrow" w:cs="Times New Roman"/>
          <w:i/>
        </w:rPr>
        <w:t xml:space="preserve">podklady </w:t>
      </w:r>
      <w:r w:rsidR="00840385" w:rsidRPr="00E13F63">
        <w:rPr>
          <w:rFonts w:ascii="Arial Narrow" w:hAnsi="Arial Narrow" w:cs="Times New Roman"/>
          <w:i/>
        </w:rPr>
        <w:t>týkající se ukazatele K a souhrny MŠMT z výročních zpráv</w:t>
      </w:r>
      <w:r w:rsidRPr="00E13F63">
        <w:rPr>
          <w:rFonts w:ascii="Arial Narrow" w:hAnsi="Arial Narrow" w:cs="Times New Roman"/>
          <w:i/>
        </w:rPr>
        <w:t>).</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 xml:space="preserve">Zastoupení VŠ z ČR v projektu KREDO: </w:t>
      </w:r>
      <w:r w:rsidRPr="00E13F63">
        <w:rPr>
          <w:rFonts w:ascii="Arial Narrow" w:hAnsi="Arial Narrow" w:cs="Times New Roman"/>
          <w:i/>
        </w:rPr>
        <w:t xml:space="preserve">Na základě orientační (a subjektivní) klasifikace podle orientace studijních oborů účastnících se VŠ lze konstatovat, že některé typy VŠ nejsou reprezentativně pokryty, v jiných případech chybí „pouze“ jednotlivé školy. Orientační zastoupení oborů VŠ (na základě zmíněné subjektivní klasifikace) je v absolutních číslech uvedeno v tabulce (čísla mohou vést k určité  opatrnosti při širší interpretaci některých závěrů) a pro názorné srovnání následuje histogram absolutních četností: </w:t>
      </w:r>
    </w:p>
    <w:p w:rsidR="003B39C0" w:rsidRDefault="003B39C0">
      <w:r>
        <w:br w:type="page"/>
      </w:r>
    </w:p>
    <w:tbl>
      <w:tblPr>
        <w:tblpPr w:leftFromText="141" w:rightFromText="141" w:vertAnchor="text" w:tblpY="1"/>
        <w:tblOverlap w:val="never"/>
        <w:tblW w:w="15300" w:type="dxa"/>
        <w:tblCellMar>
          <w:left w:w="70" w:type="dxa"/>
          <w:right w:w="70" w:type="dxa"/>
        </w:tblCellMar>
        <w:tblLook w:val="04A0" w:firstRow="1" w:lastRow="0" w:firstColumn="1" w:lastColumn="0" w:noHBand="0" w:noVBand="1"/>
      </w:tblPr>
      <w:tblGrid>
        <w:gridCol w:w="816"/>
        <w:gridCol w:w="1107"/>
        <w:gridCol w:w="1285"/>
        <w:gridCol w:w="1183"/>
        <w:gridCol w:w="1059"/>
        <w:gridCol w:w="1472"/>
        <w:gridCol w:w="539"/>
        <w:gridCol w:w="519"/>
        <w:gridCol w:w="75"/>
        <w:gridCol w:w="761"/>
        <w:gridCol w:w="771"/>
        <w:gridCol w:w="594"/>
        <w:gridCol w:w="683"/>
        <w:gridCol w:w="545"/>
        <w:gridCol w:w="634"/>
        <w:gridCol w:w="693"/>
        <w:gridCol w:w="545"/>
        <w:gridCol w:w="594"/>
        <w:gridCol w:w="801"/>
        <w:gridCol w:w="624"/>
      </w:tblGrid>
      <w:tr w:rsidR="00B85C5E" w:rsidRPr="00E13F63" w:rsidTr="00DC28D6">
        <w:trPr>
          <w:trHeight w:val="915"/>
        </w:trPr>
        <w:tc>
          <w:tcPr>
            <w:tcW w:w="7461" w:type="dxa"/>
            <w:gridSpan w:val="7"/>
            <w:tcBorders>
              <w:top w:val="nil"/>
              <w:left w:val="nil"/>
              <w:bottom w:val="nil"/>
              <w:right w:val="nil"/>
            </w:tcBorders>
            <w:shd w:val="clear" w:color="auto" w:fill="auto"/>
            <w:vAlign w:val="center"/>
            <w:hideMark/>
          </w:tcPr>
          <w:tbl>
            <w:tblPr>
              <w:tblpPr w:leftFromText="141" w:rightFromText="141" w:vertAnchor="text" w:horzAnchor="page" w:tblpX="646" w:tblpY="-695"/>
              <w:tblOverlap w:val="never"/>
              <w:tblW w:w="7320" w:type="dxa"/>
              <w:tblCellMar>
                <w:left w:w="70" w:type="dxa"/>
                <w:right w:w="70" w:type="dxa"/>
              </w:tblCellMar>
              <w:tblLook w:val="04A0" w:firstRow="1" w:lastRow="0" w:firstColumn="1" w:lastColumn="0" w:noHBand="0" w:noVBand="1"/>
            </w:tblPr>
            <w:tblGrid>
              <w:gridCol w:w="1136"/>
              <w:gridCol w:w="1059"/>
              <w:gridCol w:w="1399"/>
              <w:gridCol w:w="1419"/>
              <w:gridCol w:w="1054"/>
              <w:gridCol w:w="1253"/>
            </w:tblGrid>
            <w:tr w:rsidR="00B85C5E" w:rsidRPr="00E13F63" w:rsidTr="00DC28D6">
              <w:trPr>
                <w:trHeight w:val="915"/>
              </w:trPr>
              <w:tc>
                <w:tcPr>
                  <w:tcW w:w="1136"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umělecké obory</w:t>
                  </w:r>
                </w:p>
              </w:tc>
              <w:tc>
                <w:tcPr>
                  <w:tcW w:w="1059"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technické obory</w:t>
                  </w:r>
                </w:p>
              </w:tc>
              <w:tc>
                <w:tcPr>
                  <w:tcW w:w="1399"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přírodovědné obory (neživé M,</w:t>
                  </w:r>
                  <w:r w:rsidR="00A43DCA">
                    <w:rPr>
                      <w:rFonts w:ascii="Arial Narrow" w:eastAsia="Times New Roman" w:hAnsi="Arial Narrow" w:cs="Times New Roman"/>
                      <w:b/>
                      <w:bCs/>
                      <w:color w:val="000000"/>
                    </w:rPr>
                    <w:t xml:space="preserve"> </w:t>
                  </w:r>
                  <w:r w:rsidRPr="00E13F63">
                    <w:rPr>
                      <w:rFonts w:ascii="Arial Narrow" w:eastAsia="Times New Roman" w:hAnsi="Arial Narrow" w:cs="Times New Roman"/>
                      <w:b/>
                      <w:bCs/>
                      <w:color w:val="000000"/>
                    </w:rPr>
                    <w:t>F,</w:t>
                  </w:r>
                  <w:r w:rsidR="00A43DCA">
                    <w:rPr>
                      <w:rFonts w:ascii="Arial Narrow" w:eastAsia="Times New Roman" w:hAnsi="Arial Narrow" w:cs="Times New Roman"/>
                      <w:b/>
                      <w:bCs/>
                      <w:color w:val="000000"/>
                    </w:rPr>
                    <w:t xml:space="preserve"> </w:t>
                  </w:r>
                  <w:proofErr w:type="gramStart"/>
                  <w:r w:rsidRPr="00E13F63">
                    <w:rPr>
                      <w:rFonts w:ascii="Arial Narrow" w:eastAsia="Times New Roman" w:hAnsi="Arial Narrow" w:cs="Times New Roman"/>
                      <w:b/>
                      <w:bCs/>
                      <w:color w:val="000000"/>
                    </w:rPr>
                    <w:t>Ch,...)</w:t>
                  </w:r>
                  <w:proofErr w:type="gramEnd"/>
                </w:p>
              </w:tc>
              <w:tc>
                <w:tcPr>
                  <w:tcW w:w="1419"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přírodovědné obory (</w:t>
                  </w:r>
                  <w:proofErr w:type="gramStart"/>
                  <w:r w:rsidRPr="00E13F63">
                    <w:rPr>
                      <w:rFonts w:ascii="Arial Narrow" w:eastAsia="Times New Roman" w:hAnsi="Arial Narrow" w:cs="Times New Roman"/>
                      <w:b/>
                      <w:bCs/>
                      <w:color w:val="000000"/>
                    </w:rPr>
                    <w:t>živé B,Z, V, ...)</w:t>
                  </w:r>
                  <w:proofErr w:type="gramEnd"/>
                </w:p>
              </w:tc>
              <w:tc>
                <w:tcPr>
                  <w:tcW w:w="1054"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lékařské obory</w:t>
                  </w:r>
                </w:p>
              </w:tc>
              <w:tc>
                <w:tcPr>
                  <w:tcW w:w="1253"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ekonomické obory</w:t>
                  </w:r>
                </w:p>
              </w:tc>
            </w:tr>
            <w:tr w:rsidR="00B85C5E" w:rsidRPr="00E13F63" w:rsidTr="00DC28D6">
              <w:trPr>
                <w:trHeight w:val="300"/>
              </w:trPr>
              <w:tc>
                <w:tcPr>
                  <w:tcW w:w="1136"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11</w:t>
                  </w:r>
                </w:p>
              </w:tc>
              <w:tc>
                <w:tcPr>
                  <w:tcW w:w="1059"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10</w:t>
                  </w:r>
                </w:p>
              </w:tc>
              <w:tc>
                <w:tcPr>
                  <w:tcW w:w="1399"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9</w:t>
                  </w:r>
                </w:p>
              </w:tc>
              <w:tc>
                <w:tcPr>
                  <w:tcW w:w="1419"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4</w:t>
                  </w:r>
                </w:p>
              </w:tc>
              <w:tc>
                <w:tcPr>
                  <w:tcW w:w="1054"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1</w:t>
                  </w:r>
                </w:p>
              </w:tc>
              <w:tc>
                <w:tcPr>
                  <w:tcW w:w="1253"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15</w:t>
                  </w:r>
                </w:p>
              </w:tc>
            </w:tr>
          </w:tbl>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594" w:type="dxa"/>
            <w:gridSpan w:val="2"/>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761"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771"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594"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683"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545"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634"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693"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545"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594"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801"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624"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r>
      <w:tr w:rsidR="00B85C5E" w:rsidRPr="00E13F63" w:rsidTr="00DC28D6">
        <w:trPr>
          <w:trHeight w:val="300"/>
        </w:trPr>
        <w:tc>
          <w:tcPr>
            <w:tcW w:w="7461" w:type="dxa"/>
            <w:gridSpan w:val="7"/>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rPr>
                <w:rFonts w:ascii="Arial Narrow" w:eastAsia="Times New Roman" w:hAnsi="Arial Narrow" w:cs="Times New Roman"/>
                <w:b/>
                <w:bCs/>
                <w:color w:val="000000"/>
              </w:rPr>
            </w:pPr>
          </w:p>
        </w:tc>
        <w:tc>
          <w:tcPr>
            <w:tcW w:w="594" w:type="dxa"/>
            <w:gridSpan w:val="2"/>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761"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771"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594"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683"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545"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634"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693"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545"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594"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801"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624"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r>
      <w:tr w:rsidR="00B85C5E" w:rsidRPr="00E13F63" w:rsidTr="00DC28D6">
        <w:trPr>
          <w:gridAfter w:val="12"/>
          <w:wAfter w:w="7320" w:type="dxa"/>
          <w:trHeight w:val="915"/>
        </w:trPr>
        <w:tc>
          <w:tcPr>
            <w:tcW w:w="816"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právní obory</w:t>
            </w:r>
          </w:p>
        </w:tc>
        <w:tc>
          <w:tcPr>
            <w:tcW w:w="1107"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humanitní obory</w:t>
            </w:r>
          </w:p>
        </w:tc>
        <w:tc>
          <w:tcPr>
            <w:tcW w:w="1285"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pedagogické obory</w:t>
            </w:r>
          </w:p>
        </w:tc>
        <w:tc>
          <w:tcPr>
            <w:tcW w:w="1183"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„kamenné“ VŠ</w:t>
            </w:r>
          </w:p>
        </w:tc>
        <w:tc>
          <w:tcPr>
            <w:tcW w:w="1059"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regionální školy</w:t>
            </w:r>
          </w:p>
        </w:tc>
        <w:tc>
          <w:tcPr>
            <w:tcW w:w="1472"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specializované školy</w:t>
            </w:r>
          </w:p>
        </w:tc>
        <w:tc>
          <w:tcPr>
            <w:tcW w:w="1058" w:type="dxa"/>
            <w:gridSpan w:val="2"/>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technické VŠ</w:t>
            </w:r>
          </w:p>
        </w:tc>
      </w:tr>
      <w:tr w:rsidR="00B85C5E" w:rsidRPr="00E13F63" w:rsidTr="00DC28D6">
        <w:trPr>
          <w:gridAfter w:val="12"/>
          <w:wAfter w:w="7320" w:type="dxa"/>
          <w:trHeight w:val="300"/>
        </w:trPr>
        <w:tc>
          <w:tcPr>
            <w:tcW w:w="816"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3</w:t>
            </w:r>
          </w:p>
        </w:tc>
        <w:tc>
          <w:tcPr>
            <w:tcW w:w="1107"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6</w:t>
            </w:r>
          </w:p>
        </w:tc>
        <w:tc>
          <w:tcPr>
            <w:tcW w:w="1285"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w:t>
            </w:r>
          </w:p>
        </w:tc>
        <w:tc>
          <w:tcPr>
            <w:tcW w:w="1183"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1</w:t>
            </w:r>
          </w:p>
        </w:tc>
        <w:tc>
          <w:tcPr>
            <w:tcW w:w="1059"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9</w:t>
            </w:r>
          </w:p>
        </w:tc>
        <w:tc>
          <w:tcPr>
            <w:tcW w:w="1472"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31</w:t>
            </w:r>
          </w:p>
        </w:tc>
        <w:tc>
          <w:tcPr>
            <w:tcW w:w="1058" w:type="dxa"/>
            <w:gridSpan w:val="2"/>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5</w:t>
            </w:r>
          </w:p>
        </w:tc>
      </w:tr>
      <w:tr w:rsidR="00B85C5E" w:rsidRPr="00E13F63" w:rsidTr="00DC28D6">
        <w:trPr>
          <w:gridAfter w:val="12"/>
          <w:wAfter w:w="7320" w:type="dxa"/>
          <w:trHeight w:val="300"/>
        </w:trPr>
        <w:tc>
          <w:tcPr>
            <w:tcW w:w="816"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1107"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1285"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1183"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1059"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1472" w:type="dxa"/>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c>
          <w:tcPr>
            <w:tcW w:w="1058" w:type="dxa"/>
            <w:gridSpan w:val="2"/>
            <w:tcBorders>
              <w:top w:val="nil"/>
              <w:left w:val="nil"/>
              <w:bottom w:val="nil"/>
              <w:right w:val="nil"/>
            </w:tcBorders>
            <w:shd w:val="clear" w:color="auto" w:fill="auto"/>
            <w:vAlign w:val="center"/>
            <w:hideMark/>
          </w:tcPr>
          <w:p w:rsidR="00B85C5E" w:rsidRPr="00E13F63" w:rsidRDefault="00B85C5E" w:rsidP="00DC28D6">
            <w:pPr>
              <w:spacing w:before="120" w:after="0" w:line="240" w:lineRule="auto"/>
              <w:jc w:val="center"/>
              <w:rPr>
                <w:rFonts w:ascii="Arial Narrow" w:eastAsia="Times New Roman" w:hAnsi="Arial Narrow" w:cs="Times New Roman"/>
                <w:b/>
                <w:bCs/>
                <w:color w:val="000000"/>
              </w:rPr>
            </w:pPr>
          </w:p>
        </w:tc>
      </w:tr>
    </w:tbl>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10: Četnosti odpovědí podle „oborů“.</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noProof/>
        </w:rPr>
        <w:drawing>
          <wp:inline distT="0" distB="0" distL="0" distR="0">
            <wp:extent cx="5447030" cy="2797791"/>
            <wp:effectExtent l="19050" t="0" r="20320" b="2559"/>
            <wp:docPr id="4" name="Graf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11: Histogram četností odpovědí podle „oborů“.</w:t>
      </w:r>
    </w:p>
    <w:p w:rsidR="00B85C5E" w:rsidRPr="00E13F63" w:rsidRDefault="00B85C5E" w:rsidP="00B85C5E">
      <w:pPr>
        <w:pStyle w:val="Default"/>
        <w:spacing w:before="120" w:line="360" w:lineRule="auto"/>
        <w:jc w:val="both"/>
        <w:rPr>
          <w:rFonts w:ascii="Arial Narrow" w:hAnsi="Arial Narrow" w:cs="Times New Roman"/>
          <w:b/>
          <w:i/>
        </w:rPr>
      </w:pPr>
      <w:r w:rsidRPr="00976B98">
        <w:rPr>
          <w:rFonts w:ascii="Arial Narrow" w:hAnsi="Arial Narrow" w:cs="Times New Roman"/>
          <w:b/>
          <w:i/>
        </w:rPr>
        <w:t>Závěry k obecné použitelnosti poznatků - shrnutí:</w:t>
      </w:r>
      <w:r w:rsidRPr="00E13F63">
        <w:rPr>
          <w:rFonts w:ascii="Arial Narrow" w:hAnsi="Arial Narrow" w:cs="Times New Roman"/>
          <w:i/>
        </w:rPr>
        <w:t xml:space="preserve"> Lze jen doporučit využití získaných poznatků k disku</w:t>
      </w:r>
      <w:r w:rsidR="00A43DCA">
        <w:rPr>
          <w:rFonts w:ascii="Arial Narrow" w:hAnsi="Arial Narrow" w:cs="Times New Roman"/>
          <w:i/>
        </w:rPr>
        <w:t>z</w:t>
      </w:r>
      <w:r w:rsidRPr="00E13F63">
        <w:rPr>
          <w:rFonts w:ascii="Arial Narrow" w:hAnsi="Arial Narrow" w:cs="Times New Roman"/>
          <w:i/>
        </w:rPr>
        <w:t xml:space="preserve">i, přemýšlení a nikoliv ke zjednodušování a jednostrannému vnucování. Pak je zřejmě naděje, že jejich přijetí bude spíše vnímající než odmítavé. Text se snaží přispět k naplnění doporučení pro </w:t>
      </w:r>
      <w:r w:rsidRPr="00E13F63">
        <w:rPr>
          <w:rFonts w:ascii="Arial Narrow" w:hAnsi="Arial Narrow" w:cs="Times New Roman"/>
          <w:b/>
          <w:i/>
        </w:rPr>
        <w:t xml:space="preserve">VŠ </w:t>
      </w:r>
      <w:r w:rsidRPr="00E13F63">
        <w:rPr>
          <w:rFonts w:ascii="Arial Narrow" w:eastAsia="Times New Roman" w:hAnsi="Arial Narrow" w:cs="Times New Roman"/>
          <w:b/>
          <w:i/>
        </w:rPr>
        <w:t xml:space="preserve">Bod 10: </w:t>
      </w:r>
      <w:r w:rsidRPr="00E13F63">
        <w:rPr>
          <w:rFonts w:ascii="Arial Narrow" w:eastAsia="Times New Roman" w:hAnsi="Arial Narrow" w:cs="Times New Roman"/>
        </w:rPr>
        <w:t>Aktivně poskytovat zpětnou vazbu systému řízení VŠ.</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 xml:space="preserve">Popis struktury primárních (sbíraných) dat: </w:t>
      </w:r>
      <w:r w:rsidRPr="00E13F63">
        <w:rPr>
          <w:rFonts w:ascii="Arial Narrow" w:hAnsi="Arial Narrow" w:cs="Times New Roman"/>
          <w:i/>
        </w:rPr>
        <w:t xml:space="preserve">Zvolené pojetí lze označit za tabulkové (maticové), které dalo značnou volnost těm, kteří data doplňovali, ale značně pracností zatížilo následnou unifikaci a zpracování dat. K popisu sebraných dat lze použít prostorovou analogii s "datovým kvádrem" pro </w:t>
      </w:r>
      <w:r w:rsidRPr="00E13F63">
        <w:rPr>
          <w:rFonts w:ascii="Arial Narrow" w:hAnsi="Arial Narrow" w:cs="Times New Roman"/>
          <w:i/>
        </w:rPr>
        <w:lastRenderedPageBreak/>
        <w:t>každou VŠ. Na osu x můžeme umístit</w:t>
      </w:r>
      <w:r w:rsidRPr="00E13F63">
        <w:rPr>
          <w:rFonts w:ascii="Arial Narrow" w:hAnsi="Arial Narrow" w:cs="Times New Roman"/>
        </w:rPr>
        <w:t xml:space="preserve"> </w:t>
      </w:r>
      <w:r w:rsidRPr="00E13F63">
        <w:rPr>
          <w:rFonts w:ascii="Arial Narrow" w:hAnsi="Arial Narrow" w:cs="Times New Roman"/>
          <w:i/>
        </w:rPr>
        <w:t>doporučené zdroje: zaměstnanci, studenti, finance, prostory, přístroje, informační zdroje a IT. Tyto se opakují, nejsou vynechávány, až na výjimky nejsou doplňovány, což je výhodou pro úhrnné zpracování. Na osu y jsou pak umístěny poměrně heterogenní časově orientované položky vztahující se k jednotlivým zdrojům (současný stav zdroje 2014 a použitá jednotka pro zdroj, rozdíl 2020 – 2014 a popis pokrytí zdroje včetně případné poznámky, rozdíl 2030 – 2020 a popis pokrytí zdroje včetně případné poznámky). Na ose z se položky dosti zásadně mění podle předchozích strategických priorit. V bodech kvádru identifiko</w:t>
      </w:r>
      <w:r w:rsidR="008B3D10" w:rsidRPr="00E13F63">
        <w:rPr>
          <w:rFonts w:ascii="Arial Narrow" w:hAnsi="Arial Narrow" w:cs="Times New Roman"/>
          <w:i/>
        </w:rPr>
        <w:t>vaných souřadnicemi (x,</w:t>
      </w:r>
      <w:r w:rsidR="00A43DCA">
        <w:rPr>
          <w:rFonts w:ascii="Arial Narrow" w:hAnsi="Arial Narrow" w:cs="Times New Roman"/>
          <w:i/>
        </w:rPr>
        <w:t xml:space="preserve"> </w:t>
      </w:r>
      <w:r w:rsidR="008B3D10" w:rsidRPr="00E13F63">
        <w:rPr>
          <w:rFonts w:ascii="Arial Narrow" w:hAnsi="Arial Narrow" w:cs="Times New Roman"/>
          <w:i/>
        </w:rPr>
        <w:t>y,</w:t>
      </w:r>
      <w:r w:rsidR="00A43DCA">
        <w:rPr>
          <w:rFonts w:ascii="Arial Narrow" w:hAnsi="Arial Narrow" w:cs="Times New Roman"/>
          <w:i/>
        </w:rPr>
        <w:t xml:space="preserve"> </w:t>
      </w:r>
      <w:r w:rsidR="008B3D10" w:rsidRPr="00E13F63">
        <w:rPr>
          <w:rFonts w:ascii="Arial Narrow" w:hAnsi="Arial Narrow" w:cs="Times New Roman"/>
          <w:i/>
        </w:rPr>
        <w:t xml:space="preserve">z) pak </w:t>
      </w:r>
      <w:r w:rsidRPr="00E13F63">
        <w:rPr>
          <w:rFonts w:ascii="Arial Narrow" w:hAnsi="Arial Narrow" w:cs="Times New Roman"/>
          <w:i/>
        </w:rPr>
        <w:t xml:space="preserve">můžeme uvést tabulkové hodnoty jednotlivých VŠ. Tato geometrická představa umožňuje ukázat problémy vznikající při následné sumarizaci. Pro některé body hodnoty chybí. Pro některé body jsou hodnoty nekonzistentní (slovní versus číselné údaje, číselné údaje v numerické nebo v textové podobě, číselné údaje nejen představující rozdíl, ale (chybně) absolutní hodnotu, číselné údaje marginální (za součást VŠ) nebo globální (za celou VŠ)). Jejich úprava a transformace s cílem dosažení konzistence dat pak zákonitě vnáší subjektivní chyby autora a jeho interpretace. </w:t>
      </w:r>
    </w:p>
    <w:p w:rsidR="00B85C5E" w:rsidRPr="00E13F63" w:rsidRDefault="00B85C5E" w:rsidP="00B85C5E">
      <w:pPr>
        <w:pStyle w:val="Default"/>
        <w:spacing w:before="120" w:line="360" w:lineRule="auto"/>
        <w:jc w:val="center"/>
        <w:rPr>
          <w:rFonts w:ascii="Arial Narrow" w:hAnsi="Arial Narrow" w:cs="Times New Roman"/>
          <w:i/>
        </w:rPr>
      </w:pPr>
      <w:r w:rsidRPr="00E13F63">
        <w:rPr>
          <w:rFonts w:ascii="Arial Narrow" w:hAnsi="Arial Narrow" w:cs="Times New Roman"/>
          <w:i/>
          <w:noProof/>
        </w:rPr>
        <w:drawing>
          <wp:inline distT="0" distB="0" distL="0" distR="0">
            <wp:extent cx="5761278" cy="2362810"/>
            <wp:effectExtent l="19050" t="0" r="10872" b="0"/>
            <wp:docPr id="9" name="Graf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12: Vizualizace "datového kvádru".</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 xml:space="preserve">Vliv heterogenity dat (viz předchozí obrázky) vynikne právě při využití tzv. „datového kvádru“. Pokus o určitou vizualizaci je na obr. 12. Podrobnosti jsou diskutovány výše v textu, zejména problém proměnlivosti osy z a chybějících nebo nekonzistentních dat. Je naznačeno pomocí promítnutí četností priorit (orientačně) z obr. 13 do grafu (jde o vizualizaci, vazba na osy x a y neexistuje). </w:t>
      </w:r>
    </w:p>
    <w:p w:rsidR="00B85C5E" w:rsidRPr="00E13F63" w:rsidRDefault="00B85C5E" w:rsidP="00B85C5E">
      <w:pPr>
        <w:spacing w:line="360" w:lineRule="auto"/>
        <w:jc w:val="both"/>
        <w:rPr>
          <w:rFonts w:ascii="Arial Narrow" w:eastAsia="Times New Roman" w:hAnsi="Arial Narrow" w:cs="Times New Roman"/>
          <w:i/>
          <w:sz w:val="24"/>
          <w:szCs w:val="24"/>
        </w:rPr>
      </w:pPr>
      <w:r w:rsidRPr="00E13F63">
        <w:rPr>
          <w:rFonts w:ascii="Arial Narrow" w:hAnsi="Arial Narrow" w:cs="Times New Roman"/>
          <w:i/>
          <w:sz w:val="24"/>
          <w:szCs w:val="24"/>
        </w:rPr>
        <w:lastRenderedPageBreak/>
        <w:t xml:space="preserve">Hromadnější zpracování (návrhy sjednocení, průnik, agregace jsou dále ilustrovány) je tím opět ztíženo. Pro VŠ, ale i </w:t>
      </w:r>
      <w:r w:rsidRPr="00E13F63">
        <w:rPr>
          <w:rFonts w:ascii="Arial Narrow" w:eastAsia="Times New Roman" w:hAnsi="Arial Narrow" w:cs="Times New Roman"/>
          <w:b/>
          <w:i/>
          <w:sz w:val="24"/>
          <w:szCs w:val="24"/>
        </w:rPr>
        <w:t>MŠMT</w:t>
      </w:r>
      <w:r w:rsidRPr="00E13F63">
        <w:rPr>
          <w:rFonts w:ascii="Arial Narrow" w:eastAsia="Times New Roman" w:hAnsi="Arial Narrow" w:cs="Times New Roman"/>
          <w:i/>
          <w:sz w:val="24"/>
          <w:szCs w:val="24"/>
        </w:rPr>
        <w:t xml:space="preserve"> lze použít shrnující doporučení: </w:t>
      </w:r>
      <w:r w:rsidRPr="00E13F63">
        <w:rPr>
          <w:rFonts w:ascii="Arial Narrow" w:eastAsia="Times New Roman" w:hAnsi="Arial Narrow" w:cs="Times New Roman"/>
          <w:b/>
          <w:i/>
          <w:sz w:val="24"/>
          <w:szCs w:val="24"/>
        </w:rPr>
        <w:t>Bod 7:</w:t>
      </w:r>
      <w:r w:rsidRPr="00E13F63">
        <w:rPr>
          <w:rFonts w:ascii="Arial Narrow" w:eastAsia="Times New Roman" w:hAnsi="Arial Narrow" w:cs="Times New Roman"/>
          <w:i/>
          <w:sz w:val="24"/>
          <w:szCs w:val="24"/>
        </w:rPr>
        <w:t xml:space="preserve"> </w:t>
      </w:r>
      <w:r w:rsidRPr="00E13F63">
        <w:rPr>
          <w:rFonts w:ascii="Arial Narrow" w:eastAsia="Times New Roman" w:hAnsi="Arial Narrow" w:cs="Times New Roman"/>
          <w:sz w:val="24"/>
          <w:szCs w:val="24"/>
        </w:rPr>
        <w:t>Zlepšit sběr dat a zdokonalit hodnotící metody.</w:t>
      </w:r>
      <w:r w:rsidR="00840385" w:rsidRPr="00E13F63">
        <w:rPr>
          <w:rFonts w:ascii="Arial Narrow" w:eastAsia="Times New Roman" w:hAnsi="Arial Narrow" w:cs="Times New Roman"/>
          <w:sz w:val="24"/>
          <w:szCs w:val="24"/>
        </w:rPr>
        <w:t xml:space="preserve"> </w:t>
      </w:r>
      <w:r w:rsidR="00840385" w:rsidRPr="00E13F63">
        <w:rPr>
          <w:rFonts w:ascii="Arial Narrow" w:eastAsia="Times New Roman" w:hAnsi="Arial Narrow" w:cs="Times New Roman"/>
          <w:i/>
          <w:sz w:val="24"/>
          <w:szCs w:val="24"/>
        </w:rPr>
        <w:t>Je vhodné zdůraznit</w:t>
      </w:r>
      <w:r w:rsidR="00840385" w:rsidRPr="00E13F63">
        <w:rPr>
          <w:rFonts w:ascii="Arial Narrow" w:hAnsi="Arial Narrow"/>
          <w:i/>
          <w:noProof/>
        </w:rPr>
        <w:t xml:space="preserve">, </w:t>
      </w:r>
      <w:r w:rsidR="00840385" w:rsidRPr="00E13F63">
        <w:rPr>
          <w:rFonts w:ascii="Arial Narrow" w:hAnsi="Arial Narrow" w:cs="Times New Roman"/>
          <w:i/>
          <w:noProof/>
        </w:rPr>
        <w:t>že pro sběr dat je zásadní jasná definice dat, přesně stanovený zdroj dat a měly by být popsány i kontrolní mechanismy pro ověření validity dat.</w:t>
      </w:r>
    </w:p>
    <w:p w:rsidR="00B85C5E" w:rsidRPr="00E13F63" w:rsidRDefault="00B85C5E" w:rsidP="00B85C5E">
      <w:pPr>
        <w:pStyle w:val="Default"/>
        <w:spacing w:before="120" w:line="360" w:lineRule="auto"/>
        <w:jc w:val="center"/>
        <w:rPr>
          <w:rFonts w:ascii="Arial Narrow" w:hAnsi="Arial Narrow"/>
        </w:rPr>
      </w:pPr>
      <w:r w:rsidRPr="00E13F63">
        <w:rPr>
          <w:rFonts w:ascii="Arial Narrow" w:hAnsi="Arial Narrow"/>
        </w:rPr>
        <w:object w:dxaOrig="8640" w:dyaOrig="5760">
          <v:shape id="_x0000_i1033" type="#_x0000_t75" style="width:6in;height:271.5pt" o:ole="">
            <v:imagedata r:id="rId26" o:title=""/>
          </v:shape>
          <o:OLEObject Type="Embed" ProgID="MtbGraph.Document.15" ShapeID="_x0000_i1033" DrawAspect="Content" ObjectID="_1506887150" r:id="rId27"/>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13: Jaké počty priorit si určily VŠ.</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Četnosti počtu priorit ukazují tíhnutí ke kouzelnému „desateru“ strategických priorit, jinak VŠ variantně uvažovaly od souhrnných priorit až po detailní seznam. To ale ne nutně souvisí s typem VŠ, jak ukazuje následující obr. 14 s krabicovým grafem, kde počty priorit VVŠ a SVŠ jsou vizuálně srovnatelné:</w:t>
      </w:r>
    </w:p>
    <w:p w:rsidR="00B85C5E" w:rsidRPr="00E13F63" w:rsidRDefault="00B85C5E" w:rsidP="00B85C5E">
      <w:pPr>
        <w:pStyle w:val="Default"/>
        <w:spacing w:before="120" w:line="360" w:lineRule="auto"/>
        <w:jc w:val="center"/>
        <w:rPr>
          <w:rFonts w:ascii="Arial Narrow" w:hAnsi="Arial Narrow"/>
        </w:rPr>
      </w:pPr>
      <w:r w:rsidRPr="00E13F63">
        <w:rPr>
          <w:rFonts w:ascii="Arial Narrow" w:hAnsi="Arial Narrow"/>
        </w:rPr>
        <w:object w:dxaOrig="8640" w:dyaOrig="5760">
          <v:shape id="_x0000_i1034" type="#_x0000_t75" style="width:6in;height:246.75pt" o:ole="">
            <v:imagedata r:id="rId28" o:title=""/>
          </v:shape>
          <o:OLEObject Type="Embed" ProgID="MtbGraph.Document.15" ShapeID="_x0000_i1034" DrawAspect="Content" ObjectID="_1506887151" r:id="rId29"/>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14: Počty priorit podle typu VŠ (VVŠ a SVŠ).</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 xml:space="preserve">Dále platí, že pokud chceme pracovat s úhrny a použít alespoň základní nástroje popisné statistiky nebo průzkumové analýzy dat, překážkou je rozmanitost položek na ose z, a to pro různé VŠ. Zde máme několik možností. Můžeme uvažovat „sjednocení“, tj. do úhrnného kvádru zaneseme všechny priority všech účastnících se VŠ. Pak je ovšem datová struktura sice obsáhlá, ale značně řídká. Pokud zvolíme „průnik“, můžeme se dočkat „prázdných množin“, tj. pro skupiny vybraných VŠ nemusí existovat stejné strategické priority.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Proto jsme případ od případu volili přístup „agregace“, kde jsme (subjektivně) agregovali příbuzné strategické priority</w:t>
      </w:r>
      <w:r w:rsidR="003566A3">
        <w:rPr>
          <w:rFonts w:ascii="Arial Narrow" w:hAnsi="Arial Narrow" w:cs="Times New Roman"/>
          <w:i/>
        </w:rPr>
        <w:t xml:space="preserve"> do skupin a při zachování anonymizace jsme barevně odlišili priority různých VŠ</w:t>
      </w:r>
      <w:r w:rsidRPr="00E13F63">
        <w:rPr>
          <w:rFonts w:ascii="Arial Narrow" w:hAnsi="Arial Narrow" w:cs="Times New Roman"/>
          <w:i/>
        </w:rPr>
        <w:t xml:space="preserve">.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noProof/>
        </w:rPr>
        <w:lastRenderedPageBreak/>
        <w:drawing>
          <wp:inline distT="0" distB="0" distL="0" distR="0">
            <wp:extent cx="5759964" cy="4572000"/>
            <wp:effectExtent l="19050" t="0" r="0" b="0"/>
            <wp:docPr id="5" name="Obrázek 1" descr="O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png"/>
                    <pic:cNvPicPr/>
                  </pic:nvPicPr>
                  <pic:blipFill>
                    <a:blip r:embed="rId30" cstate="print"/>
                    <a:stretch>
                      <a:fillRect/>
                    </a:stretch>
                  </pic:blipFill>
                  <pic:spPr>
                    <a:xfrm>
                      <a:off x="0" y="0"/>
                      <a:ext cx="5759964" cy="4572000"/>
                    </a:xfrm>
                    <a:prstGeom prst="rect">
                      <a:avLst/>
                    </a:prstGeom>
                  </pic:spPr>
                </pic:pic>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15: Agregovaných 220 priorit pro VVŠ.</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Při vyhodnocení seznamu všech 413 priorit (220 u VVŠ) všech 41 respondentů (ne nutně různých) byla pro VVŠ a vybrané SVŠ provedena klasifikace a agregace priorit. Názvy agregací jsou voleny poměrně volně (rozvoj zahrnuje rovněž propojení oborů i výuky a tvůrčí činnosti; spolupráce jsou mezinárodní – internacionalizace, národní i lokální; praxe uvádí absolventy; VaV obecně tvůrčí činnost; finance i zabezpečení; řízení i lidské zdroje a hodnocení kvality; vnější pak marketing, propagaci i třetí roli). Obr. 15 znázorňuje členění agregovaných priorit pro VVŠ a další obr. 16 pak spíše náznakově ukazuje členění pro všechny VŠ. Odpovídající četnosti jsou dále na obr. 17 a obr. 18.</w: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lastRenderedPageBreak/>
        <w:drawing>
          <wp:inline distT="0" distB="0" distL="0" distR="0">
            <wp:extent cx="5130850" cy="4959705"/>
            <wp:effectExtent l="19050" t="0" r="0" b="0"/>
            <wp:docPr id="6" name="Obrázek 4" descr="Prior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ority.png"/>
                    <pic:cNvPicPr/>
                  </pic:nvPicPr>
                  <pic:blipFill>
                    <a:blip r:embed="rId31" cstate="print"/>
                    <a:stretch>
                      <a:fillRect/>
                    </a:stretch>
                  </pic:blipFill>
                  <pic:spPr>
                    <a:xfrm>
                      <a:off x="0" y="0"/>
                      <a:ext cx="5130850" cy="4959705"/>
                    </a:xfrm>
                    <a:prstGeom prst="rect">
                      <a:avLst/>
                    </a:prstGeom>
                  </pic:spPr>
                </pic:pic>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16: Agregovaných 413 priorit pro VŠ.</w: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drawing>
          <wp:inline distT="0" distB="0" distL="0" distR="0">
            <wp:extent cx="5760720" cy="1435587"/>
            <wp:effectExtent l="19050" t="0" r="11430" b="0"/>
            <wp:docPr id="11" name="Graf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17: Četnosti agregovaných 220 priorit VVŠ.</w: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lastRenderedPageBreak/>
        <w:drawing>
          <wp:inline distT="0" distB="0" distL="0" distR="0">
            <wp:extent cx="5760720" cy="2431433"/>
            <wp:effectExtent l="19050" t="0" r="11430" b="6967"/>
            <wp:docPr id="10" name="Graf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18: Četnosti agregovaných 413 priorit VŠ</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 xml:space="preserve">Hlubší analýza priorit během jejich sjednocování (a kontrole shody – viz textová část) vede k některým závěrům. </w:t>
      </w:r>
    </w:p>
    <w:p w:rsidR="00B85C5E" w:rsidRPr="00E13F63" w:rsidRDefault="00B85C5E" w:rsidP="00B85C5E">
      <w:pPr>
        <w:spacing w:line="360" w:lineRule="auto"/>
        <w:jc w:val="both"/>
        <w:rPr>
          <w:rFonts w:ascii="Arial Narrow" w:eastAsia="Times New Roman" w:hAnsi="Arial Narrow" w:cs="Times New Roman"/>
          <w:i/>
          <w:sz w:val="24"/>
          <w:szCs w:val="24"/>
        </w:rPr>
      </w:pPr>
      <w:r w:rsidRPr="00E13F63">
        <w:rPr>
          <w:rFonts w:ascii="Arial Narrow" w:hAnsi="Arial Narrow" w:cs="Times New Roman"/>
          <w:i/>
          <w:sz w:val="24"/>
          <w:szCs w:val="24"/>
        </w:rPr>
        <w:t xml:space="preserve">Pro </w:t>
      </w:r>
      <w:r w:rsidRPr="00E13F63">
        <w:rPr>
          <w:rFonts w:ascii="Arial Narrow" w:eastAsia="Times New Roman" w:hAnsi="Arial Narrow" w:cs="Times New Roman"/>
          <w:b/>
          <w:i/>
          <w:sz w:val="24"/>
          <w:szCs w:val="24"/>
        </w:rPr>
        <w:t>MŠMT</w:t>
      </w:r>
      <w:r w:rsidRPr="00E13F63">
        <w:rPr>
          <w:rFonts w:ascii="Arial Narrow" w:eastAsia="Times New Roman" w:hAnsi="Arial Narrow" w:cs="Times New Roman"/>
          <w:i/>
          <w:sz w:val="24"/>
          <w:szCs w:val="24"/>
        </w:rPr>
        <w:t xml:space="preserve"> lze uvést </w:t>
      </w:r>
      <w:r w:rsidRPr="00E13F63">
        <w:rPr>
          <w:rFonts w:ascii="Arial Narrow" w:eastAsia="Times New Roman" w:hAnsi="Arial Narrow" w:cs="Times New Roman"/>
          <w:b/>
          <w:i/>
          <w:sz w:val="24"/>
          <w:szCs w:val="24"/>
        </w:rPr>
        <w:t>bod 2:</w:t>
      </w:r>
      <w:r w:rsidRPr="00E13F63">
        <w:rPr>
          <w:rFonts w:ascii="Arial Narrow" w:eastAsia="Times New Roman" w:hAnsi="Arial Narrow" w:cs="Times New Roman"/>
          <w:i/>
          <w:sz w:val="24"/>
          <w:szCs w:val="24"/>
        </w:rPr>
        <w:t xml:space="preserve"> </w:t>
      </w:r>
      <w:r w:rsidRPr="00E13F63">
        <w:rPr>
          <w:rFonts w:ascii="Arial Narrow" w:eastAsia="Times New Roman" w:hAnsi="Arial Narrow" w:cs="Times New Roman"/>
          <w:sz w:val="24"/>
          <w:szCs w:val="24"/>
        </w:rPr>
        <w:t>Důraz je třeba klást na skutečné a nikoliv na umělé priority VŠ.</w:t>
      </w:r>
      <w:r w:rsidRPr="00E13F63">
        <w:rPr>
          <w:rFonts w:ascii="Arial Narrow" w:eastAsia="Times New Roman" w:hAnsi="Arial Narrow" w:cs="Times New Roman"/>
          <w:i/>
          <w:sz w:val="24"/>
          <w:szCs w:val="24"/>
        </w:rPr>
        <w:t xml:space="preserve"> Při seskupení priorit a disku</w:t>
      </w:r>
      <w:r w:rsidR="00583AEA">
        <w:rPr>
          <w:rFonts w:ascii="Arial Narrow" w:eastAsia="Times New Roman" w:hAnsi="Arial Narrow" w:cs="Times New Roman"/>
          <w:i/>
          <w:sz w:val="24"/>
          <w:szCs w:val="24"/>
        </w:rPr>
        <w:t>z</w:t>
      </w:r>
      <w:r w:rsidRPr="00E13F63">
        <w:rPr>
          <w:rFonts w:ascii="Arial Narrow" w:eastAsia="Times New Roman" w:hAnsi="Arial Narrow" w:cs="Times New Roman"/>
          <w:i/>
          <w:sz w:val="24"/>
          <w:szCs w:val="24"/>
        </w:rPr>
        <w:t xml:space="preserve">i zdrojů se ukazuje, že je vysoké soustředění na hlavní priority (výukové a tvůrčí aktivity), klíčovou roli hrají spolupráce, finance a předpokládané změny v řízení VŠ, ale méně pozornosti (i když mnohdy implicitně) je věnována bezprostředním rizikům demografického poklesu (viz speciálně vyčleněný sloupec pro uchazeče) a rovněž otázky rozvoje (např. propojování výuky s tvůrčí činností) jsou zřejmě spíše v pozadí </w:t>
      </w:r>
      <w:r w:rsidR="00840385" w:rsidRPr="00E13F63">
        <w:rPr>
          <w:rFonts w:ascii="Arial Narrow" w:eastAsia="Times New Roman" w:hAnsi="Arial Narrow" w:cs="Times New Roman"/>
          <w:i/>
          <w:sz w:val="24"/>
          <w:szCs w:val="24"/>
        </w:rPr>
        <w:t>kvůli</w:t>
      </w:r>
      <w:r w:rsidRPr="00E13F63">
        <w:rPr>
          <w:rFonts w:ascii="Arial Narrow" w:eastAsia="Times New Roman" w:hAnsi="Arial Narrow" w:cs="Times New Roman"/>
          <w:i/>
          <w:sz w:val="24"/>
          <w:szCs w:val="24"/>
        </w:rPr>
        <w:t xml:space="preserve"> podfinancování VŠ. Lze zvážit, pokud jsou tyto priority pro vysoké školství v ČR důležité, zda je nepodpořit např. v rámci projektů OP VVV. </w:t>
      </w:r>
    </w:p>
    <w:p w:rsidR="00B85C5E" w:rsidRPr="00E13F63" w:rsidRDefault="00B85C5E" w:rsidP="00B85C5E">
      <w:pPr>
        <w:spacing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i/>
          <w:sz w:val="24"/>
          <w:szCs w:val="24"/>
        </w:rPr>
        <w:t xml:space="preserve">Pro </w:t>
      </w:r>
      <w:r w:rsidRPr="00E13F63">
        <w:rPr>
          <w:rFonts w:ascii="Arial Narrow" w:eastAsia="Times New Roman" w:hAnsi="Arial Narrow" w:cs="Times New Roman"/>
          <w:b/>
          <w:i/>
          <w:sz w:val="24"/>
          <w:szCs w:val="24"/>
        </w:rPr>
        <w:t>VŠ</w:t>
      </w:r>
      <w:r w:rsidRPr="00E13F63">
        <w:rPr>
          <w:rFonts w:ascii="Arial Narrow" w:eastAsia="Times New Roman" w:hAnsi="Arial Narrow" w:cs="Times New Roman"/>
          <w:i/>
          <w:sz w:val="24"/>
          <w:szCs w:val="24"/>
        </w:rPr>
        <w:t xml:space="preserve"> dále platí doporučení </w:t>
      </w:r>
      <w:r w:rsidRPr="00E13F63">
        <w:rPr>
          <w:rFonts w:ascii="Arial Narrow" w:eastAsia="Times New Roman" w:hAnsi="Arial Narrow" w:cs="Times New Roman"/>
          <w:b/>
          <w:i/>
          <w:sz w:val="24"/>
          <w:szCs w:val="24"/>
        </w:rPr>
        <w:t>bodu 7:</w:t>
      </w:r>
      <w:r w:rsidRPr="00E13F63">
        <w:rPr>
          <w:rFonts w:ascii="Arial Narrow" w:eastAsia="Times New Roman" w:hAnsi="Arial Narrow" w:cs="Times New Roman"/>
          <w:i/>
          <w:sz w:val="24"/>
          <w:szCs w:val="24"/>
        </w:rPr>
        <w:t xml:space="preserve"> </w:t>
      </w:r>
      <w:r w:rsidRPr="00E13F63">
        <w:rPr>
          <w:rFonts w:ascii="Arial Narrow" w:eastAsia="Times New Roman" w:hAnsi="Arial Narrow" w:cs="Times New Roman"/>
          <w:sz w:val="24"/>
          <w:szCs w:val="24"/>
        </w:rPr>
        <w:t>Věnovat adekvátní pozornost často proměnlivým módním trendům ve vysokém školství.</w:t>
      </w:r>
      <w:r w:rsidRPr="00E13F63">
        <w:rPr>
          <w:rFonts w:ascii="Arial Narrow" w:eastAsia="Times New Roman" w:hAnsi="Arial Narrow" w:cs="Times New Roman"/>
          <w:i/>
          <w:sz w:val="24"/>
          <w:szCs w:val="24"/>
        </w:rPr>
        <w:t xml:space="preserve"> Důraz je kladen na slovo adekvátní a podrobnější komentář je v závěrech. </w:t>
      </w:r>
    </w:p>
    <w:p w:rsidR="00B85C5E" w:rsidRPr="00E13F63" w:rsidRDefault="00B85C5E" w:rsidP="00B85C5E">
      <w:pPr>
        <w:spacing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i/>
          <w:sz w:val="24"/>
          <w:szCs w:val="24"/>
        </w:rPr>
        <w:t xml:space="preserve">Rozmanitost priorit (viz texty a barvy - byť jsou shrnuty do skupin - agregovány) a různé pojetí bilancí různými VŠ komplikuje následné pokusy o statistické zpracování, byť pouze pomocí průzkumové analýzy dat. </w:t>
      </w:r>
    </w:p>
    <w:p w:rsidR="00B85C5E" w:rsidRPr="00E13F63" w:rsidRDefault="00B85C5E" w:rsidP="00B85C5E">
      <w:pPr>
        <w:spacing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i/>
          <w:sz w:val="24"/>
          <w:szCs w:val="24"/>
        </w:rPr>
        <w:t>Pokud se podíváme na následující histogram, jsou potvrzena tvrzení předchozí tabulky o vhodnosti podpory některých priorit důležitých z pohledu stability VŠ (</w:t>
      </w:r>
      <w:r w:rsidRPr="00E13F63">
        <w:rPr>
          <w:rFonts w:ascii="Arial Narrow" w:eastAsia="Times New Roman" w:hAnsi="Arial Narrow" w:cs="Times New Roman"/>
          <w:b/>
          <w:i/>
          <w:sz w:val="24"/>
          <w:szCs w:val="24"/>
        </w:rPr>
        <w:t>MŠMT Bod 2:</w:t>
      </w:r>
      <w:r w:rsidRPr="00E13F63">
        <w:rPr>
          <w:rFonts w:ascii="Arial Narrow" w:eastAsia="Times New Roman" w:hAnsi="Arial Narrow" w:cs="Times New Roman"/>
          <w:i/>
          <w:sz w:val="24"/>
          <w:szCs w:val="24"/>
        </w:rPr>
        <w:t xml:space="preserve"> </w:t>
      </w:r>
      <w:r w:rsidRPr="00E13F63">
        <w:rPr>
          <w:rFonts w:ascii="Arial Narrow" w:eastAsia="Times New Roman" w:hAnsi="Arial Narrow" w:cs="Times New Roman"/>
          <w:sz w:val="24"/>
          <w:szCs w:val="24"/>
        </w:rPr>
        <w:t xml:space="preserve">Důraz je třeba klást na </w:t>
      </w:r>
      <w:r w:rsidRPr="00E13F63">
        <w:rPr>
          <w:rFonts w:ascii="Arial Narrow" w:eastAsia="Times New Roman" w:hAnsi="Arial Narrow" w:cs="Times New Roman"/>
          <w:sz w:val="24"/>
          <w:szCs w:val="24"/>
        </w:rPr>
        <w:lastRenderedPageBreak/>
        <w:t>skutečné a nikoliv na umělé priority VŠ</w:t>
      </w:r>
      <w:r w:rsidRPr="00E13F63">
        <w:rPr>
          <w:rFonts w:ascii="Arial Narrow" w:eastAsia="Times New Roman" w:hAnsi="Arial Narrow" w:cs="Times New Roman"/>
          <w:i/>
          <w:sz w:val="24"/>
          <w:szCs w:val="24"/>
        </w:rPr>
        <w:t xml:space="preserve">). Podobně pak k otázkám spolupráce a rozvoje (propojování např. výuky a tvůrčí činnosti) lze doporučit: </w:t>
      </w:r>
      <w:r w:rsidRPr="00E13F63">
        <w:rPr>
          <w:rFonts w:ascii="Arial Narrow" w:eastAsia="Times New Roman" w:hAnsi="Arial Narrow" w:cs="Times New Roman"/>
          <w:b/>
          <w:i/>
          <w:sz w:val="24"/>
          <w:szCs w:val="24"/>
        </w:rPr>
        <w:t xml:space="preserve">MŠMT Bod 8: </w:t>
      </w:r>
      <w:r w:rsidRPr="00E13F63">
        <w:rPr>
          <w:rFonts w:ascii="Arial Narrow" w:eastAsia="Times New Roman" w:hAnsi="Arial Narrow" w:cs="Times New Roman"/>
          <w:sz w:val="24"/>
          <w:szCs w:val="24"/>
        </w:rPr>
        <w:t>Podporovat robustnost systému prostřednictvím synergie aktivit VŠ.</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Validita sebraných dat:</w:t>
      </w:r>
      <w:r w:rsidRPr="00E13F63">
        <w:rPr>
          <w:rFonts w:ascii="Arial Narrow" w:hAnsi="Arial Narrow" w:cs="Times New Roman"/>
        </w:rPr>
        <w:t xml:space="preserve"> </w:t>
      </w:r>
      <w:r w:rsidRPr="00E13F63">
        <w:rPr>
          <w:rFonts w:ascii="Arial Narrow" w:hAnsi="Arial Narrow" w:cs="Times New Roman"/>
          <w:i/>
        </w:rPr>
        <w:t>Doplňující verifikace pomocí rozpočtů MŠMT pro některé ukazatele nabízí cennou zpětnou vazbu VŠ k vlastnímu posouzení, jak dalece reálně predikují vývoj některých ukazatelů. Toto není nutné ani vhodné interpretovat jako problém VŠ, ale jako námět ke zlepšení přístupu ke strategickému plánování včetně práce s kvantitativními údaji.</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 xml:space="preserve">Forma prezentace závěrů: </w:t>
      </w:r>
      <w:r w:rsidRPr="00D3350A">
        <w:rPr>
          <w:rFonts w:ascii="Arial Narrow" w:hAnsi="Arial Narrow" w:cs="Times New Roman"/>
          <w:i/>
        </w:rPr>
        <w:t>Forma</w:t>
      </w:r>
      <w:r w:rsidRPr="00E13F63">
        <w:rPr>
          <w:rFonts w:ascii="Arial Narrow" w:hAnsi="Arial Narrow" w:cs="Times New Roman"/>
          <w:i/>
        </w:rPr>
        <w:t xml:space="preserve"> následujících shrnutí je volena expresivněji než akademické formulace v podkladech VŠ, a to záměrně tak, aby upoutala pozornost a vyvolala disku</w:t>
      </w:r>
      <w:r w:rsidR="00583AEA">
        <w:rPr>
          <w:rFonts w:ascii="Arial Narrow" w:hAnsi="Arial Narrow" w:cs="Times New Roman"/>
          <w:i/>
        </w:rPr>
        <w:t>z</w:t>
      </w:r>
      <w:r w:rsidRPr="00E13F63">
        <w:rPr>
          <w:rFonts w:ascii="Arial Narrow" w:hAnsi="Arial Narrow" w:cs="Times New Roman"/>
          <w:i/>
        </w:rPr>
        <w:t>i, která by přispěla k řešení alespoň některých problémů. Na druhé straně je proto na předchozích stránkách opakovaně zdůrazněno doporučení přijímat následná shrnutí kriticky, rezervovaně a nezobecňovat je. Tento přístup může vést k tomu, že otevření disku</w:t>
      </w:r>
      <w:r w:rsidR="00583AEA">
        <w:rPr>
          <w:rFonts w:ascii="Arial Narrow" w:hAnsi="Arial Narrow" w:cs="Times New Roman"/>
          <w:i/>
        </w:rPr>
        <w:t>z</w:t>
      </w:r>
      <w:r w:rsidRPr="00E13F63">
        <w:rPr>
          <w:rFonts w:ascii="Arial Narrow" w:hAnsi="Arial Narrow" w:cs="Times New Roman"/>
          <w:i/>
        </w:rPr>
        <w:t>e k některým otázkám povede k postupnému vyjasnění a zpřesnění odpovědí. Kvalitativní informace jsou předmětem zpracování následující textové části (mohou být podchyceny pouze informace z VŠ, které je poskytly mimo číselné údaje).</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i/>
          <w:sz w:val="24"/>
          <w:szCs w:val="24"/>
        </w:rPr>
        <w:t xml:space="preserve">Dále jsou uvedeny ilustrující grafy umožňující sledovat předpokládané reakce VŠ na změny jak ve vývoji, tak v interakcích. Nejprve jsou prezentovány výsledky aplikace připravených maker na náhodně vybrané body (vždy cca 5 testovacích bodů z celkem 41 respondentů s ohledem na předchozí rozbory je obvykle použitelných do cca 30 záznamů) a je většinou formulována hypotéza, která je verifikována pro VVŠ a případně pro všechny VŠ. Grafy zahrnují převážně data vztažená k hlavním činnostem úhrnně nebo k výuce (variabilita a nesrovnatelnost dalších dat, přes použití indexů, při ukázkových zpracováních nenabízela rozumnější závěry).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i/>
          <w:sz w:val="24"/>
          <w:szCs w:val="24"/>
        </w:rPr>
        <w:t>Místo absolutních hodnot jsou z důvodu srovnání voleny hodnoty relativní, představující VŠ uvažovaný nárůst nebo pokles při srovnání roku 2014 s očekáváními pro roky 2020 a 2030. Viz následující grafy ukazující rovněž četnosti chybějících (nulových dat) pro jednotlivé zdroje:</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hAnsi="Arial Narrow"/>
        </w:rPr>
      </w:pPr>
      <w:r w:rsidRPr="00E13F63">
        <w:rPr>
          <w:rFonts w:ascii="Arial Narrow" w:hAnsi="Arial Narrow"/>
        </w:rPr>
        <w:object w:dxaOrig="8640" w:dyaOrig="5760">
          <v:shape id="_x0000_i1035" type="#_x0000_t75" style="width:6in;height:4in" o:ole="">
            <v:imagedata r:id="rId34" o:title=""/>
          </v:shape>
          <o:OLEObject Type="Embed" ProgID="MtbGraph.Document.15" ShapeID="_x0000_i1035" DrawAspect="Content" ObjectID="_1506887152" r:id="rId35"/>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18a: Četnosti roztříděných počtů zaměstnanců VŠ.</w:t>
      </w:r>
    </w:p>
    <w:p w:rsidR="00B85C5E" w:rsidRPr="00E13F63" w:rsidRDefault="0080708A" w:rsidP="00B85C5E">
      <w:pPr>
        <w:pStyle w:val="Default"/>
        <w:spacing w:before="120" w:line="360" w:lineRule="auto"/>
        <w:jc w:val="both"/>
        <w:rPr>
          <w:rFonts w:ascii="Arial Narrow" w:hAnsi="Arial Narrow" w:cs="Times New Roman"/>
          <w:i/>
        </w:rPr>
      </w:pPr>
      <w:r w:rsidRPr="00E13F63">
        <w:rPr>
          <w:rFonts w:ascii="Arial Narrow" w:hAnsi="Arial Narrow"/>
        </w:rPr>
        <w:object w:dxaOrig="8640" w:dyaOrig="5760">
          <v:shape id="_x0000_i1036" type="#_x0000_t75" style="width:6in;height:267pt" o:ole="">
            <v:imagedata r:id="rId36" o:title=""/>
          </v:shape>
          <o:OLEObject Type="Embed" ProgID="MtbGraph.Document.15" ShapeID="_x0000_i1036" DrawAspect="Content" ObjectID="_1506887153" r:id="rId37"/>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18b: Četnosti očekávaných změn počtu zaměstnanců VŠ.</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rPr>
        <w:object w:dxaOrig="8640" w:dyaOrig="5760">
          <v:shape id="_x0000_i1037" type="#_x0000_t75" style="width:6in;height:4in" o:ole="">
            <v:imagedata r:id="rId38" o:title=""/>
          </v:shape>
          <o:OLEObject Type="Embed" ProgID="MtbGraph.Document.15" ShapeID="_x0000_i1037" DrawAspect="Content" ObjectID="_1506887154" r:id="rId39"/>
        </w:objec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18c: Četnosti očekávaných změn počtu zaměstnanců VŠ.</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 xml:space="preserve">Uvedené grafy, které lze zopakovat pro další zdroje, vedou k námětu použít pro porovnání indexy. </w:t>
      </w:r>
    </w:p>
    <w:p w:rsidR="00B85C5E" w:rsidRPr="00E13F63" w:rsidRDefault="00B85C5E" w:rsidP="00B85C5E">
      <w:pPr>
        <w:pStyle w:val="Default"/>
        <w:spacing w:before="120" w:line="360" w:lineRule="auto"/>
        <w:jc w:val="both"/>
        <w:rPr>
          <w:rFonts w:ascii="Arial Narrow" w:hAnsi="Arial Narrow" w:cs="Times New Roman"/>
          <w:b/>
          <w:u w:val="single"/>
        </w:rPr>
      </w:pPr>
      <w:r w:rsidRPr="00E13F63">
        <w:rPr>
          <w:rFonts w:ascii="Arial Narrow" w:hAnsi="Arial Narrow" w:cs="Times New Roman"/>
          <w:b/>
          <w:u w:val="single"/>
        </w:rPr>
        <w:t>ZDROJE</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u w:val="single"/>
        </w:rPr>
        <w:t>Lidské zdroje - zaměstnanci:</w:t>
      </w:r>
      <w:r w:rsidRPr="00E13F63">
        <w:rPr>
          <w:rFonts w:ascii="Arial Narrow" w:hAnsi="Arial Narrow" w:cs="Times New Roman"/>
          <w:b/>
        </w:rPr>
        <w:t xml:space="preserve"> </w:t>
      </w:r>
      <w:r w:rsidRPr="00E13F63">
        <w:rPr>
          <w:rFonts w:ascii="Arial Narrow" w:hAnsi="Arial Narrow" w:cs="Times New Roman"/>
          <w:i/>
        </w:rPr>
        <w:t xml:space="preserve">Opakovaně konstatováno stárnutí sboru akademických pracovníků. Identifikována souvislost s financováním (možnost získání doktorandů, postdoktorandů, kvalitních zahraničních zaměstnanců v kontrastu s úrovní financování a dosavadní kampaňovitostí při řešení těchto otázek), viz </w:t>
      </w:r>
      <w:r w:rsidRPr="00E13F63">
        <w:rPr>
          <w:rFonts w:ascii="Arial Narrow" w:hAnsi="Arial Narrow" w:cs="Times New Roman"/>
          <w:b/>
          <w:i/>
        </w:rPr>
        <w:t xml:space="preserve">MŠMT </w:t>
      </w:r>
      <w:r w:rsidRPr="00E13F63">
        <w:rPr>
          <w:rFonts w:ascii="Arial Narrow" w:eastAsia="Times New Roman" w:hAnsi="Arial Narrow" w:cs="Times New Roman"/>
          <w:b/>
          <w:i/>
        </w:rPr>
        <w:t>Bod 3:</w:t>
      </w:r>
      <w:r w:rsidRPr="00E13F63">
        <w:rPr>
          <w:rFonts w:ascii="Arial Narrow" w:eastAsia="Times New Roman" w:hAnsi="Arial Narrow" w:cs="Times New Roman"/>
          <w:b/>
        </w:rPr>
        <w:t xml:space="preserve"> </w:t>
      </w:r>
      <w:r w:rsidRPr="00E13F63">
        <w:rPr>
          <w:rFonts w:ascii="Arial Narrow" w:eastAsia="Times New Roman" w:hAnsi="Arial Narrow" w:cs="Times New Roman"/>
        </w:rPr>
        <w:t>Finance je třeba zaměřit více na lidské zdroje.</w:t>
      </w:r>
    </w:p>
    <w:p w:rsidR="00B85C5E" w:rsidRPr="00E13F63" w:rsidRDefault="00B85C5E" w:rsidP="00B85C5E">
      <w:pPr>
        <w:spacing w:line="360" w:lineRule="auto"/>
        <w:jc w:val="both"/>
        <w:rPr>
          <w:rFonts w:ascii="Arial Narrow" w:hAnsi="Arial Narrow" w:cs="Times New Roman"/>
          <w:sz w:val="24"/>
          <w:szCs w:val="24"/>
        </w:rPr>
      </w:pPr>
      <w:r w:rsidRPr="00E13F63">
        <w:rPr>
          <w:rFonts w:ascii="Arial Narrow" w:hAnsi="Arial Narrow" w:cs="Times New Roman"/>
          <w:i/>
          <w:sz w:val="24"/>
          <w:szCs w:val="24"/>
        </w:rPr>
        <w:t>Jako zásadní problémem je často citován zákoník práce v oblasti opakujících se pracovních poměrů na dobu určitou: „</w:t>
      </w:r>
      <w:r w:rsidRPr="00E13F63">
        <w:rPr>
          <w:rFonts w:ascii="Arial Narrow" w:hAnsi="Arial Narrow" w:cs="Times New Roman"/>
          <w:sz w:val="24"/>
          <w:szCs w:val="24"/>
        </w:rPr>
        <w:t>Při zachování stávající právní úpravy hrozí reálné problémy se zabezpečením výuky akademickými pracovníky v některých oborech.“</w:t>
      </w:r>
    </w:p>
    <w:p w:rsidR="00B85C5E" w:rsidRPr="00E13F63" w:rsidRDefault="00B85C5E" w:rsidP="00B85C5E">
      <w:pPr>
        <w:spacing w:line="360" w:lineRule="auto"/>
        <w:jc w:val="both"/>
        <w:rPr>
          <w:rFonts w:ascii="Arial Narrow" w:hAnsi="Arial Narrow" w:cs="Times New Roman"/>
          <w:sz w:val="24"/>
          <w:szCs w:val="24"/>
        </w:rPr>
      </w:pPr>
      <w:r w:rsidRPr="00E13F63">
        <w:rPr>
          <w:rFonts w:ascii="Arial Narrow" w:hAnsi="Arial Narrow" w:cs="Times New Roman"/>
          <w:b/>
          <w:sz w:val="24"/>
          <w:szCs w:val="24"/>
        </w:rPr>
        <w:t xml:space="preserve">Internacionalizace: </w:t>
      </w:r>
      <w:r w:rsidRPr="00E13F63">
        <w:rPr>
          <w:rFonts w:ascii="Arial Narrow" w:hAnsi="Arial Narrow" w:cs="Times New Roman"/>
          <w:i/>
          <w:sz w:val="24"/>
          <w:szCs w:val="24"/>
        </w:rPr>
        <w:t>Ve vztahu k internacionalizaci výuky se objevují formulace: „</w:t>
      </w:r>
      <w:r w:rsidRPr="00E13F63">
        <w:rPr>
          <w:rFonts w:ascii="Arial Narrow" w:hAnsi="Arial Narrow" w:cs="Times New Roman"/>
          <w:sz w:val="24"/>
          <w:szCs w:val="24"/>
        </w:rPr>
        <w:t xml:space="preserve">V některých oborech je nedostatek pedagogů schopných učit v angličtině.“ </w:t>
      </w:r>
      <w:r w:rsidRPr="00E13F63">
        <w:rPr>
          <w:rFonts w:ascii="Arial Narrow" w:hAnsi="Arial Narrow" w:cs="Times New Roman"/>
          <w:i/>
          <w:sz w:val="24"/>
          <w:szCs w:val="24"/>
        </w:rPr>
        <w:t xml:space="preserve">S tím souvisí: </w:t>
      </w:r>
      <w:r w:rsidRPr="00E13F63">
        <w:rPr>
          <w:rFonts w:ascii="Arial Narrow" w:hAnsi="Arial Narrow" w:cs="Times New Roman"/>
          <w:sz w:val="24"/>
          <w:szCs w:val="24"/>
        </w:rPr>
        <w:t xml:space="preserve">„… naprostá vytíženost (pedagogická i pracovní) pedagogů, kteří již v anglických programech působí …“  </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lastRenderedPageBreak/>
        <w:t>VŠ zmiňují své cílení na joint-degree v souladu s prioritami MŠMT</w:t>
      </w:r>
      <w:r w:rsidRPr="00E13F63">
        <w:rPr>
          <w:rFonts w:ascii="Arial Narrow" w:hAnsi="Arial Narrow" w:cs="Times New Roman"/>
          <w:sz w:val="24"/>
          <w:szCs w:val="24"/>
        </w:rPr>
        <w:t xml:space="preserve">. </w:t>
      </w:r>
      <w:r w:rsidRPr="00E13F63">
        <w:rPr>
          <w:rFonts w:ascii="Arial Narrow" w:hAnsi="Arial Narrow" w:cs="Times New Roman"/>
          <w:i/>
          <w:sz w:val="24"/>
          <w:szCs w:val="24"/>
        </w:rPr>
        <w:t>Souhrnně jsou kladeny otázky lepší koordinace-využití lidských zdrojů.</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hAnsi="Arial Narrow" w:cs="Times New Roman"/>
          <w:i/>
          <w:sz w:val="24"/>
          <w:szCs w:val="24"/>
        </w:rPr>
        <w:t xml:space="preserve">Je uváděna nákladnost zaměstnávání zahraničních pedagogů a vědců včetně administrativních překážek. Možností je bloková organizace výuky při využití kratších návštěv odborníků (což se v případě některých oborů děje – viz letní školy aj.). Problematika úzce souvisí s konkurenceschopností, viz </w:t>
      </w:r>
      <w:r w:rsidRPr="00E13F63">
        <w:rPr>
          <w:rFonts w:ascii="Arial Narrow" w:hAnsi="Arial Narrow" w:cs="Times New Roman"/>
          <w:b/>
          <w:i/>
          <w:sz w:val="24"/>
          <w:szCs w:val="24"/>
        </w:rPr>
        <w:t xml:space="preserve">MŠMT </w:t>
      </w:r>
      <w:r w:rsidRPr="00E13F63">
        <w:rPr>
          <w:rFonts w:ascii="Arial Narrow" w:eastAsia="Times New Roman" w:hAnsi="Arial Narrow" w:cs="Times New Roman"/>
          <w:b/>
          <w:i/>
          <w:sz w:val="24"/>
          <w:szCs w:val="24"/>
        </w:rPr>
        <w:t>Bod 6:</w:t>
      </w:r>
      <w:r w:rsidRPr="00E13F63">
        <w:rPr>
          <w:rFonts w:ascii="Arial Narrow" w:eastAsia="Times New Roman" w:hAnsi="Arial Narrow" w:cs="Times New Roman"/>
          <w:b/>
          <w:sz w:val="24"/>
          <w:szCs w:val="24"/>
        </w:rPr>
        <w:t xml:space="preserve"> </w:t>
      </w:r>
      <w:r w:rsidRPr="00E13F63">
        <w:rPr>
          <w:rFonts w:ascii="Arial Narrow" w:eastAsia="Times New Roman" w:hAnsi="Arial Narrow" w:cs="Times New Roman"/>
          <w:sz w:val="24"/>
          <w:szCs w:val="24"/>
        </w:rPr>
        <w:t>Podpora mezinárodní konkurenceschopnosti a komparativních výhod.</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Priority týkající se internacionalizace a spolupráce se objevují poměrně často a patří jednoznačně mezi tzv. módní:</w:t>
      </w:r>
    </w:p>
    <w:tbl>
      <w:tblPr>
        <w:tblW w:w="9406" w:type="dxa"/>
        <w:tblInd w:w="70" w:type="dxa"/>
        <w:tblCellMar>
          <w:left w:w="70" w:type="dxa"/>
          <w:right w:w="70" w:type="dxa"/>
        </w:tblCellMar>
        <w:tblLook w:val="04A0" w:firstRow="1" w:lastRow="0" w:firstColumn="1" w:lastColumn="0" w:noHBand="0" w:noVBand="1"/>
      </w:tblPr>
      <w:tblGrid>
        <w:gridCol w:w="9406"/>
      </w:tblGrid>
      <w:tr w:rsidR="00B85C5E" w:rsidRPr="00E13F63" w:rsidTr="00DC28D6">
        <w:trPr>
          <w:trHeight w:val="300"/>
        </w:trPr>
        <w:tc>
          <w:tcPr>
            <w:tcW w:w="9406" w:type="dxa"/>
            <w:tcBorders>
              <w:top w:val="nil"/>
              <w:left w:val="nil"/>
              <w:bottom w:val="nil"/>
              <w:right w:val="nil"/>
            </w:tcBorders>
            <w:shd w:val="clear" w:color="auto" w:fill="auto"/>
            <w:noWrap/>
            <w:vAlign w:val="bottom"/>
            <w:hideMark/>
          </w:tcPr>
          <w:p w:rsidR="00B85C5E" w:rsidRPr="00E13F63" w:rsidRDefault="00B85C5E" w:rsidP="00DC28D6">
            <w:pPr>
              <w:spacing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spolupráce a internacionalizace výuky</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podobnými VŠ</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ostatními subjekty</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Zahraniční mobilita studentů a pracovníků</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ostatními subjekty</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podobnými VŠ</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Odborná spolupráce v ČR</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Mezinárodní </w:t>
            </w:r>
            <w:proofErr w:type="spellStart"/>
            <w:r w:rsidRPr="00E13F63">
              <w:rPr>
                <w:rFonts w:ascii="Arial Narrow" w:eastAsia="Times New Roman" w:hAnsi="Arial Narrow" w:cs="Times New Roman"/>
                <w:b/>
                <w:bCs/>
                <w:color w:val="000000"/>
              </w:rPr>
              <w:t>odb</w:t>
            </w:r>
            <w:proofErr w:type="spellEnd"/>
            <w:r w:rsidRPr="00E13F63">
              <w:rPr>
                <w:rFonts w:ascii="Arial Narrow" w:eastAsia="Times New Roman" w:hAnsi="Arial Narrow" w:cs="Times New Roman"/>
                <w:b/>
                <w:bCs/>
                <w:color w:val="000000"/>
              </w:rPr>
              <w:t>. spolupráce</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ostat. Subjekty</w:t>
            </w:r>
          </w:p>
        </w:tc>
      </w:tr>
      <w:tr w:rsidR="00B85C5E" w:rsidRPr="00E13F63" w:rsidTr="00DC28D6">
        <w:trPr>
          <w:trHeight w:val="300"/>
        </w:trPr>
        <w:tc>
          <w:tcPr>
            <w:tcW w:w="9406" w:type="dxa"/>
            <w:tcBorders>
              <w:top w:val="nil"/>
              <w:left w:val="nil"/>
              <w:bottom w:val="nil"/>
              <w:right w:val="nil"/>
            </w:tcBorders>
            <w:shd w:val="clear" w:color="000000" w:fill="D7E4BC"/>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Nadnárodní a národní odborná spolupráce </w:t>
            </w:r>
          </w:p>
        </w:tc>
      </w:tr>
      <w:tr w:rsidR="00B85C5E" w:rsidRPr="00E13F63" w:rsidTr="00DC28D6">
        <w:trPr>
          <w:trHeight w:val="300"/>
        </w:trPr>
        <w:tc>
          <w:tcPr>
            <w:tcW w:w="9406" w:type="dxa"/>
            <w:tcBorders>
              <w:top w:val="nil"/>
              <w:left w:val="nil"/>
              <w:bottom w:val="nil"/>
              <w:right w:val="nil"/>
            </w:tcBorders>
            <w:shd w:val="clear" w:color="000000" w:fill="F2DDDC"/>
            <w:noWrap/>
            <w:vAlign w:val="center"/>
            <w:hideMark/>
          </w:tcPr>
          <w:p w:rsidR="00B85C5E" w:rsidRPr="00E13F63" w:rsidRDefault="00B85C5E" w:rsidP="00DC28D6">
            <w:pPr>
              <w:spacing w:after="0" w:line="240" w:lineRule="auto"/>
              <w:rPr>
                <w:rFonts w:ascii="Arial Narrow" w:eastAsia="Times New Roman" w:hAnsi="Arial Narrow" w:cs="Arial"/>
                <w:b/>
                <w:bCs/>
                <w:sz w:val="20"/>
                <w:szCs w:val="20"/>
              </w:rPr>
            </w:pPr>
            <w:r w:rsidRPr="00E13F63">
              <w:rPr>
                <w:rFonts w:ascii="Arial Narrow" w:eastAsia="Times New Roman" w:hAnsi="Arial Narrow" w:cs="Arial"/>
                <w:b/>
                <w:bCs/>
                <w:sz w:val="20"/>
                <w:szCs w:val="20"/>
              </w:rPr>
              <w:t>Posílení mezinárodního postavení univerzity</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odborná spolupráce</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Odborná spolupráce v rámci ČR</w:t>
            </w:r>
          </w:p>
        </w:tc>
      </w:tr>
      <w:tr w:rsidR="00B85C5E" w:rsidRPr="00E13F63" w:rsidTr="00DC28D6">
        <w:trPr>
          <w:trHeight w:val="300"/>
        </w:trPr>
        <w:tc>
          <w:tcPr>
            <w:tcW w:w="9406" w:type="dxa"/>
            <w:tcBorders>
              <w:top w:val="nil"/>
              <w:left w:val="nil"/>
              <w:bottom w:val="nil"/>
              <w:right w:val="nil"/>
            </w:tcBorders>
            <w:shd w:val="clear" w:color="000000" w:fill="00CCFF"/>
            <w:noWrap/>
            <w:vAlign w:val="bottom"/>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Internacionalizace studia</w:t>
            </w:r>
          </w:p>
        </w:tc>
      </w:tr>
      <w:tr w:rsidR="00B85C5E" w:rsidRPr="00E13F63" w:rsidTr="00DC28D6">
        <w:trPr>
          <w:trHeight w:val="300"/>
        </w:trPr>
        <w:tc>
          <w:tcPr>
            <w:tcW w:w="9406" w:type="dxa"/>
            <w:tcBorders>
              <w:top w:val="nil"/>
              <w:left w:val="nil"/>
              <w:bottom w:val="nil"/>
              <w:right w:val="nil"/>
            </w:tcBorders>
            <w:shd w:val="clear" w:color="000000" w:fill="DBEEF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Odborná spolupráce v rámci ČR</w:t>
            </w:r>
          </w:p>
        </w:tc>
      </w:tr>
      <w:tr w:rsidR="00B85C5E" w:rsidRPr="00E13F63" w:rsidTr="00DC28D6">
        <w:trPr>
          <w:trHeight w:val="300"/>
        </w:trPr>
        <w:tc>
          <w:tcPr>
            <w:tcW w:w="9406" w:type="dxa"/>
            <w:tcBorders>
              <w:top w:val="nil"/>
              <w:left w:val="nil"/>
              <w:bottom w:val="nil"/>
              <w:right w:val="nil"/>
            </w:tcBorders>
            <w:shd w:val="clear" w:color="000000" w:fill="DBEEF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ostatními subjekty</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Prohloubení spolupráce s aplikační sférou a regionem</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rPr>
            </w:pPr>
            <w:r w:rsidRPr="00E13F63">
              <w:rPr>
                <w:rFonts w:ascii="Arial Narrow" w:eastAsia="Times New Roman" w:hAnsi="Arial Narrow" w:cs="Times New Roman"/>
                <w:b/>
                <w:bCs/>
              </w:rPr>
              <w:t>Internacionalizace akademického prostředí</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Internacionalizace VŠ prostředí</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ostatními subjekty</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2020 - Mezinárodní týmy a projekty</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2030 - Spolupráce s ostatními subjekty</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2030 - Rozvoj zahraniční mobility</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Pokračující spolupráce s vysokými školami a jejich fakultami dislokovanými ve městě (společné centrum pohybových aktivit a výzkumu zdraví) </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Otevřenost a internacionalizace univerzity (budování efektivní sítě spolupracujících institucí; mobility - vysoký a zvyšující se počet bilaterálních smluv, kvalitní "fungující" partneři; dobré administrativní a procesní zabezpečení v oblasti internacionalizace, dobré zázemí pro přijíždějící; DS Label; rozvoj </w:t>
            </w:r>
            <w:r w:rsidRPr="00E13F63">
              <w:rPr>
                <w:rFonts w:ascii="Arial Narrow" w:eastAsia="Times New Roman" w:hAnsi="Arial Narrow" w:cs="Times New Roman"/>
                <w:b/>
                <w:bCs/>
                <w:color w:val="000000"/>
              </w:rPr>
              <w:lastRenderedPageBreak/>
              <w:t xml:space="preserve">specifických mimoevropských kontaktů dle zaměření fakult; propagace oborů na mezinárodních akcích, získávání zahraničních pracovníků) </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Odborná spolupráce, partnerství</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ostatními subjekty</w:t>
            </w:r>
          </w:p>
        </w:tc>
      </w:tr>
      <w:tr w:rsidR="00B85C5E" w:rsidRPr="00E13F63" w:rsidTr="00DC28D6">
        <w:trPr>
          <w:trHeight w:val="300"/>
        </w:trPr>
        <w:tc>
          <w:tcPr>
            <w:tcW w:w="9406" w:type="dxa"/>
            <w:tcBorders>
              <w:top w:val="nil"/>
              <w:left w:val="nil"/>
              <w:bottom w:val="nil"/>
              <w:right w:val="nil"/>
            </w:tcBorders>
            <w:shd w:val="clear" w:color="000000" w:fill="00CC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spolupráce a internacionalizace ve vzdělávání</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ostatními subjekty v oblasti vzdělávání, VaV a tvůrčích aktivit; spolupráce s místní a regionální samosprávou</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Internacionalizace studijního a pracovního prostředí, zahraniční mobilita studentů a akademických pracovníků; studijní programy v cizích jazycích</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Mezinárodní spolupráce v oblasti vzdělávání, VaV a tvůrčích aktivit </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ostatními subjekty v oblasti vzdělávání, VaV a tvůrčích aktivit; spolupráce s místní a regionální samosprávou</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(mezinárodní odborná spolupráce, spolupráce s jinými VŠ, spolupráce s průmyslem a praxí)</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Internacionalizace vzdělávací, výzkumné a umělecké činnosti</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rPr>
            </w:pPr>
            <w:r w:rsidRPr="00E13F63">
              <w:rPr>
                <w:rFonts w:ascii="Arial Narrow" w:eastAsia="Times New Roman" w:hAnsi="Arial Narrow" w:cs="Times New Roman"/>
                <w:b/>
                <w:bCs/>
              </w:rPr>
              <w:t xml:space="preserve">Zvyšovat konkurenceschopnost univerzity v ČR a </w:t>
            </w:r>
            <w:proofErr w:type="spellStart"/>
            <w:r w:rsidRPr="00E13F63">
              <w:rPr>
                <w:rFonts w:ascii="Arial Narrow" w:eastAsia="Times New Roman" w:hAnsi="Arial Narrow" w:cs="Times New Roman"/>
                <w:b/>
                <w:bCs/>
              </w:rPr>
              <w:t>mezinár</w:t>
            </w:r>
            <w:proofErr w:type="spellEnd"/>
            <w:r w:rsidRPr="00E13F63">
              <w:rPr>
                <w:rFonts w:ascii="Arial Narrow" w:eastAsia="Times New Roman" w:hAnsi="Arial Narrow" w:cs="Times New Roman"/>
                <w:b/>
                <w:bCs/>
              </w:rPr>
              <w:t xml:space="preserve">. </w:t>
            </w:r>
            <w:proofErr w:type="gramStart"/>
            <w:r w:rsidRPr="00E13F63">
              <w:rPr>
                <w:rFonts w:ascii="Arial Narrow" w:eastAsia="Times New Roman" w:hAnsi="Arial Narrow" w:cs="Times New Roman"/>
                <w:b/>
                <w:bCs/>
              </w:rPr>
              <w:t>prostředí</w:t>
            </w:r>
            <w:proofErr w:type="gramEnd"/>
            <w:r w:rsidRPr="00E13F63">
              <w:rPr>
                <w:rFonts w:ascii="Arial Narrow" w:eastAsia="Times New Roman" w:hAnsi="Arial Narrow" w:cs="Times New Roman"/>
                <w:b/>
                <w:bCs/>
              </w:rPr>
              <w:t xml:space="preserve"> </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Podpora mobilit studentů a pedagogů</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ostatními subjekty</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Stáže v zahraničí</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sz w:val="20"/>
                <w:szCs w:val="20"/>
              </w:rPr>
            </w:pPr>
            <w:r w:rsidRPr="00E13F63">
              <w:rPr>
                <w:rFonts w:ascii="Arial Narrow" w:eastAsia="Times New Roman" w:hAnsi="Arial Narrow" w:cs="Times New Roman"/>
                <w:b/>
                <w:bCs/>
                <w:sz w:val="20"/>
                <w:szCs w:val="20"/>
              </w:rPr>
              <w:t>Mezinárodní odborná spolupráce (ve VaV)</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sz w:val="20"/>
                <w:szCs w:val="20"/>
              </w:rPr>
            </w:pPr>
            <w:r w:rsidRPr="00E13F63">
              <w:rPr>
                <w:rFonts w:ascii="Arial Narrow" w:eastAsia="Times New Roman" w:hAnsi="Arial Narrow" w:cs="Times New Roman"/>
                <w:b/>
                <w:bCs/>
                <w:sz w:val="20"/>
                <w:szCs w:val="20"/>
              </w:rPr>
              <w:t>Spolupráce s ostatními subjekty, s praxí, průmyslem</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sz w:val="20"/>
                <w:szCs w:val="20"/>
              </w:rPr>
            </w:pPr>
            <w:r w:rsidRPr="00E13F63">
              <w:rPr>
                <w:rFonts w:ascii="Arial Narrow" w:eastAsia="Times New Roman" w:hAnsi="Arial Narrow" w:cs="Times New Roman"/>
                <w:b/>
                <w:bCs/>
                <w:sz w:val="20"/>
                <w:szCs w:val="20"/>
              </w:rPr>
              <w:t>Internacionalizace studia</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dimenze všech činností školy</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praxí (exekutivní vzdělávání, poradenství, zakázkový výzkum)</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a tuzemská odborná spolupráce</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spolupráce - vzdělávací i výzkumná</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ostatními subjekty</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Rozvoj efektivní mezinárodní spolupráce </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odborná spolupráce</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mezinárodními subjekty</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odborná spolupráce (v oblasti výchovy odborníků a aplikovaného výzkumu)</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odborná a pedagogická spolupráce</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podobnými VŠ v ČR včetně možné akvizice a fúze</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mezinárodní spolupráce ve VaVaI</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podobnými VŠ</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odborná spolupráce</w:t>
            </w:r>
          </w:p>
        </w:tc>
      </w:tr>
      <w:tr w:rsidR="00B85C5E" w:rsidRPr="00E13F63" w:rsidTr="00DC28D6">
        <w:trPr>
          <w:trHeight w:val="300"/>
        </w:trPr>
        <w:tc>
          <w:tcPr>
            <w:tcW w:w="9406" w:type="dxa"/>
            <w:tcBorders>
              <w:top w:val="nil"/>
              <w:left w:val="nil"/>
              <w:bottom w:val="nil"/>
              <w:right w:val="nil"/>
            </w:tcBorders>
            <w:shd w:val="clear" w:color="000000" w:fill="538ED5"/>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VŠ a ostatními subjekty v ČR</w:t>
            </w:r>
          </w:p>
        </w:tc>
      </w:tr>
      <w:tr w:rsidR="00B85C5E" w:rsidRPr="00E13F63" w:rsidTr="00DC28D6">
        <w:trPr>
          <w:trHeight w:val="300"/>
        </w:trPr>
        <w:tc>
          <w:tcPr>
            <w:tcW w:w="9406" w:type="dxa"/>
            <w:tcBorders>
              <w:top w:val="nil"/>
              <w:left w:val="nil"/>
              <w:bottom w:val="nil"/>
              <w:right w:val="nil"/>
            </w:tcBorders>
            <w:shd w:val="clear" w:color="000000" w:fill="538ED5"/>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Prohloubení mezinárodní spolupráce</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se vzdělávacími institucemi</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odborná spolupráce</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Spolupráce s ostatními </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podobnými VŠ</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Odborná spolupráce v rámci ČR</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Mezinárodní odborná spolupráce</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odborná spolupráce</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Odborná spolupráce v rámci ČR</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Mezinárodní spolupráce</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Podpora mobility</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(mezinárodní odborná spolupráce, spolupráce s jinými VŠ, spolupráce s průmyslem a praxí)</w:t>
            </w:r>
          </w:p>
        </w:tc>
      </w:tr>
      <w:tr w:rsidR="00B85C5E" w:rsidRPr="00E13F63" w:rsidTr="00DC28D6">
        <w:trPr>
          <w:trHeight w:val="300"/>
        </w:trPr>
        <w:tc>
          <w:tcPr>
            <w:tcW w:w="9406" w:type="dxa"/>
            <w:tcBorders>
              <w:top w:val="single" w:sz="4" w:space="0" w:color="000000"/>
              <w:left w:val="single" w:sz="4" w:space="0" w:color="000000"/>
              <w:bottom w:val="nil"/>
              <w:right w:val="single" w:sz="4" w:space="0" w:color="000000"/>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Internacionalizace vzdělávací, výzkumné a umělecké činnosti</w:t>
            </w:r>
          </w:p>
        </w:tc>
      </w:tr>
    </w:tbl>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 xml:space="preserve">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 xml:space="preserve">Zabezpečení výuky: </w:t>
      </w:r>
      <w:r w:rsidRPr="00E13F63">
        <w:rPr>
          <w:rFonts w:ascii="Arial Narrow" w:hAnsi="Arial Narrow" w:cs="Times New Roman"/>
          <w:i/>
        </w:rPr>
        <w:t>Časté konstatování</w:t>
      </w:r>
      <w:r w:rsidRPr="00E13F63">
        <w:rPr>
          <w:rFonts w:ascii="Arial Narrow" w:hAnsi="Arial Narrow" w:cs="Times New Roman"/>
        </w:rPr>
        <w:t xml:space="preserve"> „Uspokojivé personální zajištění.“ </w:t>
      </w:r>
      <w:r w:rsidRPr="00E13F63">
        <w:rPr>
          <w:rFonts w:ascii="Arial Narrow" w:hAnsi="Arial Narrow" w:cs="Times New Roman"/>
          <w:i/>
        </w:rPr>
        <w:t>Nabízí se vyjasnit, na základě čeho posouzeno?</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 xml:space="preserve">Existující zabezpečení výuky je většinou považováno početně (ne ovšem věkové složení) za odpovídající (díky praktickým zkušenostem s tím, že výuka je realizována), a to i přes pověstná žebříčková srovnání VŠ v ČR s elitními zahraničními VŠ z hlediska počtu studentů na jednoho vyučujícího. </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Přepracování pedagogů opakovaně konstatováno. Přehled priorit uvádíme souhrnně výčtem, kde barevně odlišujeme jednotlivé VŠ. Priority mohou indikovat možnou inspiraci pro ostatní (MŠMT i VŠ):</w:t>
      </w:r>
    </w:p>
    <w:tbl>
      <w:tblPr>
        <w:tblW w:w="9406" w:type="dxa"/>
        <w:tblInd w:w="70" w:type="dxa"/>
        <w:tblCellMar>
          <w:left w:w="70" w:type="dxa"/>
          <w:right w:w="70" w:type="dxa"/>
        </w:tblCellMar>
        <w:tblLook w:val="04A0" w:firstRow="1" w:lastRow="0" w:firstColumn="1" w:lastColumn="0" w:noHBand="0" w:noVBand="1"/>
      </w:tblPr>
      <w:tblGrid>
        <w:gridCol w:w="9406"/>
      </w:tblGrid>
      <w:tr w:rsidR="00B85C5E" w:rsidRPr="00E13F63" w:rsidTr="00DC28D6">
        <w:trPr>
          <w:trHeight w:val="300"/>
        </w:trPr>
        <w:tc>
          <w:tcPr>
            <w:tcW w:w="9406" w:type="dxa"/>
            <w:tcBorders>
              <w:top w:val="nil"/>
              <w:left w:val="nil"/>
              <w:bottom w:val="nil"/>
              <w:right w:val="nil"/>
            </w:tcBorders>
            <w:shd w:val="clear" w:color="auto" w:fill="auto"/>
            <w:noWrap/>
            <w:vAlign w:val="bottom"/>
            <w:hideMark/>
          </w:tcPr>
          <w:p w:rsidR="00B85C5E" w:rsidRPr="00E13F63" w:rsidRDefault="00B85C5E" w:rsidP="00DC28D6">
            <w:pPr>
              <w:spacing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STUDIUM</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studijních výsledků a uměleckých výstupů</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Kvalita studia, rozvoj studijních oborů </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Zabezpečení výuky</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Bakalářský program stabilizace-rozvoj</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Otevření magisterského programu předpoklad 2015-16</w:t>
            </w:r>
          </w:p>
        </w:tc>
      </w:tr>
      <w:tr w:rsidR="00B85C5E" w:rsidRPr="00E13F63" w:rsidTr="00DC28D6">
        <w:trPr>
          <w:trHeight w:val="300"/>
        </w:trPr>
        <w:tc>
          <w:tcPr>
            <w:tcW w:w="9406" w:type="dxa"/>
            <w:tcBorders>
              <w:top w:val="nil"/>
              <w:left w:val="nil"/>
              <w:bottom w:val="nil"/>
              <w:right w:val="nil"/>
            </w:tcBorders>
            <w:shd w:val="clear" w:color="000000" w:fill="8DB4E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Kvalita vzdělávacího procesu; Inovace studijních programů a oborů; Uplatnění absolventů školy na trhu </w:t>
            </w:r>
            <w:proofErr w:type="gramStart"/>
            <w:r w:rsidRPr="00E13F63">
              <w:rPr>
                <w:rFonts w:ascii="Arial Narrow" w:eastAsia="Times New Roman" w:hAnsi="Arial Narrow" w:cs="Times New Roman"/>
                <w:b/>
                <w:bCs/>
                <w:color w:val="000000"/>
              </w:rPr>
              <w:t xml:space="preserve">práce                                           </w:t>
            </w:r>
            <w:r w:rsidRPr="00E13F63">
              <w:rPr>
                <w:rFonts w:ascii="Arial Narrow" w:eastAsia="Times New Roman" w:hAnsi="Arial Narrow" w:cs="Arial"/>
                <w:b/>
                <w:bCs/>
                <w:color w:val="000000"/>
                <w:sz w:val="16"/>
                <w:szCs w:val="16"/>
              </w:rPr>
              <w:t>*) sloučené</w:t>
            </w:r>
            <w:proofErr w:type="gramEnd"/>
            <w:r w:rsidRPr="00E13F63">
              <w:rPr>
                <w:rFonts w:ascii="Arial Narrow" w:eastAsia="Times New Roman" w:hAnsi="Arial Narrow" w:cs="Arial"/>
                <w:b/>
                <w:bCs/>
                <w:color w:val="000000"/>
                <w:sz w:val="16"/>
                <w:szCs w:val="16"/>
              </w:rPr>
              <w:t xml:space="preserve"> priority pro shodnou alokaci zdrojů a jednotný výstup</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 a studijní výsledky</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výstupů studia</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výstupu studia</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Kvalita studia a stud. </w:t>
            </w:r>
            <w:proofErr w:type="gramStart"/>
            <w:r w:rsidRPr="00E13F63">
              <w:rPr>
                <w:rFonts w:ascii="Arial Narrow" w:eastAsia="Times New Roman" w:hAnsi="Arial Narrow" w:cs="Times New Roman"/>
                <w:b/>
                <w:bCs/>
                <w:color w:val="000000"/>
              </w:rPr>
              <w:t>výsledky</w:t>
            </w:r>
            <w:proofErr w:type="gramEnd"/>
          </w:p>
        </w:tc>
      </w:tr>
      <w:tr w:rsidR="00B85C5E" w:rsidRPr="00E13F63" w:rsidTr="00DC28D6">
        <w:trPr>
          <w:trHeight w:val="300"/>
        </w:trPr>
        <w:tc>
          <w:tcPr>
            <w:tcW w:w="9406" w:type="dxa"/>
            <w:tcBorders>
              <w:top w:val="nil"/>
              <w:left w:val="nil"/>
              <w:bottom w:val="nil"/>
              <w:right w:val="nil"/>
            </w:tcBorders>
            <w:shd w:val="clear" w:color="000000" w:fill="D7E4BC"/>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 a studijní výsledky</w:t>
            </w:r>
          </w:p>
        </w:tc>
      </w:tr>
      <w:tr w:rsidR="00B85C5E" w:rsidRPr="00E13F63" w:rsidTr="00DC28D6">
        <w:trPr>
          <w:trHeight w:val="300"/>
        </w:trPr>
        <w:tc>
          <w:tcPr>
            <w:tcW w:w="9406" w:type="dxa"/>
            <w:tcBorders>
              <w:top w:val="nil"/>
              <w:left w:val="nil"/>
              <w:bottom w:val="nil"/>
              <w:right w:val="nil"/>
            </w:tcBorders>
            <w:shd w:val="clear" w:color="000000" w:fill="D7E4BC"/>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Rozvojový potenciál studia</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Rigorózní řízení pro všechny obory</w:t>
            </w:r>
          </w:p>
        </w:tc>
      </w:tr>
      <w:tr w:rsidR="00B85C5E" w:rsidRPr="00E13F63" w:rsidTr="00DC28D6">
        <w:trPr>
          <w:trHeight w:val="300"/>
        </w:trPr>
        <w:tc>
          <w:tcPr>
            <w:tcW w:w="9406" w:type="dxa"/>
            <w:tcBorders>
              <w:top w:val="nil"/>
              <w:left w:val="nil"/>
              <w:bottom w:val="nil"/>
              <w:right w:val="nil"/>
            </w:tcBorders>
            <w:shd w:val="clear" w:color="000000" w:fill="DBEEF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výstupů - studia</w:t>
            </w:r>
          </w:p>
        </w:tc>
      </w:tr>
      <w:tr w:rsidR="00B85C5E" w:rsidRPr="00E13F63" w:rsidTr="00DC28D6">
        <w:trPr>
          <w:trHeight w:val="300"/>
        </w:trPr>
        <w:tc>
          <w:tcPr>
            <w:tcW w:w="9406" w:type="dxa"/>
            <w:tcBorders>
              <w:top w:val="nil"/>
              <w:left w:val="nil"/>
              <w:bottom w:val="nil"/>
              <w:right w:val="nil"/>
            </w:tcBorders>
            <w:shd w:val="clear" w:color="000000" w:fill="DBEEF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 a studijní výsledky</w:t>
            </w:r>
          </w:p>
        </w:tc>
      </w:tr>
      <w:tr w:rsidR="00B85C5E" w:rsidRPr="00E13F63" w:rsidTr="00DC28D6">
        <w:trPr>
          <w:trHeight w:val="300"/>
        </w:trPr>
        <w:tc>
          <w:tcPr>
            <w:tcW w:w="9406" w:type="dxa"/>
            <w:tcBorders>
              <w:top w:val="nil"/>
              <w:left w:val="nil"/>
              <w:bottom w:val="nil"/>
              <w:right w:val="nil"/>
            </w:tcBorders>
            <w:shd w:val="clear" w:color="000000" w:fill="DBEEF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Zabezpečení výuky</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Optimalizace, stabilizace a rozvoj studijních oborů ve vazbě na potřeby společnosti</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 a studijní výsledky</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Personální zajištění výuky</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2020 - Kvalita studia a studijní výsledky</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2030 - Strategie vzdělávání</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2020 - Výuka v cizích jazycích</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Zohlednění vlivu demografické křivky (optimalizace počtu a struktury studijních programů a s nimi souvisejících nákladů, zatraktivnění univerzity vůči veřejnosti a potencionálním uchazečům o studium, zefektivnění propagačních aktivit)</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Personální zabezpečení studia -  počet docentů a profesorů, věková struktura akademických pracovníků univerzity, počet vědecko-výzkumných pracovníků</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Počet programů Joint Degree, Double Degree, zapojení do sítí Erasmus </w:t>
            </w:r>
            <w:proofErr w:type="spellStart"/>
            <w:r w:rsidRPr="00E13F63">
              <w:rPr>
                <w:rFonts w:ascii="Arial Narrow" w:eastAsia="Times New Roman" w:hAnsi="Arial Narrow" w:cs="Times New Roman"/>
                <w:b/>
                <w:bCs/>
                <w:color w:val="000000"/>
              </w:rPr>
              <w:t>Mundus</w:t>
            </w:r>
            <w:proofErr w:type="spellEnd"/>
            <w:r w:rsidRPr="00E13F63">
              <w:rPr>
                <w:rFonts w:ascii="Arial Narrow" w:eastAsia="Times New Roman" w:hAnsi="Arial Narrow" w:cs="Times New Roman"/>
                <w:b/>
                <w:bCs/>
                <w:color w:val="000000"/>
              </w:rPr>
              <w:t xml:space="preserve"> umožňujících mimoevropské </w:t>
            </w:r>
            <w:proofErr w:type="spellStart"/>
            <w:r w:rsidRPr="00E13F63">
              <w:rPr>
                <w:rFonts w:ascii="Arial Narrow" w:eastAsia="Times New Roman" w:hAnsi="Arial Narrow" w:cs="Times New Roman"/>
                <w:b/>
                <w:bCs/>
                <w:color w:val="000000"/>
              </w:rPr>
              <w:t>mobilitní</w:t>
            </w:r>
            <w:proofErr w:type="spellEnd"/>
            <w:r w:rsidRPr="00E13F63">
              <w:rPr>
                <w:rFonts w:ascii="Arial Narrow" w:eastAsia="Times New Roman" w:hAnsi="Arial Narrow" w:cs="Times New Roman"/>
                <w:b/>
                <w:bCs/>
                <w:color w:val="000000"/>
              </w:rPr>
              <w:t xml:space="preserve"> programy</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Počet studentů samoplátců a zapojení zahraničních vyučujících v rámci studijních oborů na univerzitě</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Počty studentů</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Akreditace, studijní programy</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Koncepce studia</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Vhodné studijní programy a obory k akreditaci v cizím jazyce</w:t>
            </w:r>
          </w:p>
        </w:tc>
      </w:tr>
      <w:tr w:rsidR="00B85C5E" w:rsidRPr="00E13F63" w:rsidTr="00DC28D6">
        <w:trPr>
          <w:trHeight w:val="300"/>
        </w:trPr>
        <w:tc>
          <w:tcPr>
            <w:tcW w:w="9406" w:type="dxa"/>
            <w:tcBorders>
              <w:top w:val="nil"/>
              <w:left w:val="nil"/>
              <w:bottom w:val="nil"/>
              <w:right w:val="nil"/>
            </w:tcBorders>
            <w:shd w:val="clear" w:color="000000" w:fill="00CC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Nabídka studia v cizím jazyce</w:t>
            </w:r>
          </w:p>
        </w:tc>
      </w:tr>
      <w:tr w:rsidR="00B85C5E" w:rsidRPr="00E13F63" w:rsidTr="00DC28D6">
        <w:trPr>
          <w:trHeight w:val="300"/>
        </w:trPr>
        <w:tc>
          <w:tcPr>
            <w:tcW w:w="9406" w:type="dxa"/>
            <w:tcBorders>
              <w:top w:val="nil"/>
              <w:left w:val="nil"/>
              <w:bottom w:val="nil"/>
              <w:right w:val="nil"/>
            </w:tcBorders>
            <w:shd w:val="clear" w:color="000000" w:fill="00CC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doktorských studijních programů</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 a studijní výsledky; propojení studia s praxí a uplatnitelnost absolventů na trhu práce</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rPr>
            </w:pPr>
            <w:r w:rsidRPr="00E13F63">
              <w:rPr>
                <w:rFonts w:ascii="Arial Narrow" w:eastAsia="Times New Roman" w:hAnsi="Arial Narrow" w:cs="Times New Roman"/>
                <w:b/>
                <w:bCs/>
              </w:rPr>
              <w:t>Udržení optimálního počtu studentů ve všech stupních studia, širší nabídka DSP</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 a studijní výsledky</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 a podmínky ke studiu</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Výuka studijních programů v anglickém (jiném cizím) jazyce a mezinárodní odborná spolupráce</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výstupů studia</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Rozvojový potenciál studia</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sz w:val="20"/>
                <w:szCs w:val="20"/>
              </w:rPr>
            </w:pPr>
            <w:r w:rsidRPr="00E13F63">
              <w:rPr>
                <w:rFonts w:ascii="Arial Narrow" w:eastAsia="Times New Roman" w:hAnsi="Arial Narrow" w:cs="Times New Roman"/>
                <w:b/>
                <w:bCs/>
                <w:sz w:val="20"/>
                <w:szCs w:val="20"/>
              </w:rPr>
              <w:t>Kvalita studia a studijní výsledky</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sz w:val="20"/>
                <w:szCs w:val="20"/>
              </w:rPr>
            </w:pPr>
            <w:r w:rsidRPr="00E13F63">
              <w:rPr>
                <w:rFonts w:ascii="Arial Narrow" w:eastAsia="Times New Roman" w:hAnsi="Arial Narrow" w:cs="Times New Roman"/>
                <w:b/>
                <w:bCs/>
                <w:sz w:val="20"/>
                <w:szCs w:val="20"/>
              </w:rPr>
              <w:t>Personální zajištění výuky, vědy a výzkumu (podpora talentů)</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sz w:val="20"/>
                <w:szCs w:val="20"/>
              </w:rPr>
            </w:pPr>
            <w:r w:rsidRPr="00E13F63">
              <w:rPr>
                <w:rFonts w:ascii="Arial Narrow" w:eastAsia="Times New Roman" w:hAnsi="Arial Narrow" w:cs="Times New Roman"/>
                <w:b/>
                <w:bCs/>
                <w:sz w:val="20"/>
                <w:szCs w:val="20"/>
              </w:rPr>
              <w:t>Struktura studia</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Akreditace magisterského studijního programu</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 a studijní výsledky</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výstupů - studia</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Studijní výsledky a kvalita výstupů (absolventů)</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Stabilizace počtu studentů</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Optimalizace systému vzdělávání za účelem zvýšení kvality studia</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Systematický a efektivní rozvoj dalšího vzdělávání</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výstupů - studia</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Zabezpečení výuky</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Oblast vzdělávání - inovace studijních programů podle požadavků praxe, profilu absolventa a nové obory</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Kvalita studia a studijní výsledky</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Inovace studijních plánů, specializací</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 a studijní výsledky</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Zabezpečení výuky</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Změny a inovace akreditace studijních oborů</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Zajištění společné akreditace doktorského studia</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Zabezpečení výuky</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studijních výsledků</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Stabilizace počtu studentů</w:t>
            </w:r>
          </w:p>
        </w:tc>
      </w:tr>
      <w:tr w:rsidR="00B85C5E" w:rsidRPr="00E13F63" w:rsidTr="00DC28D6">
        <w:trPr>
          <w:trHeight w:val="300"/>
        </w:trPr>
        <w:tc>
          <w:tcPr>
            <w:tcW w:w="9406" w:type="dxa"/>
            <w:tcBorders>
              <w:top w:val="nil"/>
              <w:left w:val="nil"/>
              <w:bottom w:val="nil"/>
              <w:right w:val="nil"/>
            </w:tcBorders>
            <w:shd w:val="clear" w:color="000000" w:fill="538ED5"/>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w:t>
            </w:r>
          </w:p>
        </w:tc>
      </w:tr>
      <w:tr w:rsidR="00B85C5E" w:rsidRPr="00E13F63" w:rsidTr="00DC28D6">
        <w:trPr>
          <w:trHeight w:val="300"/>
        </w:trPr>
        <w:tc>
          <w:tcPr>
            <w:tcW w:w="9406" w:type="dxa"/>
            <w:tcBorders>
              <w:top w:val="nil"/>
              <w:left w:val="nil"/>
              <w:bottom w:val="nil"/>
              <w:right w:val="nil"/>
            </w:tcBorders>
            <w:shd w:val="clear" w:color="000000" w:fill="538ED5"/>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Rozšíření nabídky studijních programů a oborů</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 a studijní výsledky</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studia a studijní výsledky</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Flexibilita a relevance vzdělávací nabídky</w:t>
            </w:r>
          </w:p>
        </w:tc>
      </w:tr>
    </w:tbl>
    <w:p w:rsidR="00B85C5E" w:rsidRPr="00E13F63" w:rsidRDefault="00B85C5E" w:rsidP="00B85C5E">
      <w:pPr>
        <w:spacing w:line="360" w:lineRule="auto"/>
        <w:jc w:val="both"/>
        <w:rPr>
          <w:rFonts w:ascii="Arial Narrow" w:hAnsi="Arial Narrow" w:cs="Times New Roman"/>
          <w:i/>
          <w:sz w:val="24"/>
          <w:szCs w:val="24"/>
        </w:rPr>
      </w:pPr>
    </w:p>
    <w:p w:rsidR="00840385"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Podrobné a otevřené rozbory jsou inspirací pro statistické sledování ze strategické  úrovně MŠMT i VŠ: „</w:t>
      </w:r>
      <w:r w:rsidRPr="00E13F63">
        <w:rPr>
          <w:rFonts w:ascii="Arial Narrow" w:hAnsi="Arial Narrow" w:cs="Times New Roman"/>
          <w:sz w:val="24"/>
          <w:szCs w:val="24"/>
        </w:rPr>
        <w:t xml:space="preserve">Analýza věkového složení různých skupin akademických pracovníků ukazuje znepokojivá fakta. V současné době je N % profesorů na VŠ XXX ve věkové skupině nad 70 let, téměř N % je v kategorii 60-69 let. Celkem 2N % profesorů tedy spadá do kategorie, která bude v roce 2020 v důchodovém věku. Obdobně cca N % docentů je ve věkové kategorii 60-69 let.“ </w:t>
      </w:r>
      <w:r w:rsidRPr="00E13F63">
        <w:rPr>
          <w:rFonts w:ascii="Arial Narrow" w:hAnsi="Arial Narrow" w:cs="Times New Roman"/>
          <w:i/>
          <w:sz w:val="24"/>
          <w:szCs w:val="24"/>
        </w:rPr>
        <w:t>Návrhy řešení souvisí s</w:t>
      </w:r>
      <w:r w:rsidR="00840385" w:rsidRPr="00E13F63">
        <w:rPr>
          <w:rFonts w:ascii="Arial Narrow" w:hAnsi="Arial Narrow" w:cs="Times New Roman"/>
          <w:i/>
          <w:sz w:val="24"/>
          <w:szCs w:val="24"/>
        </w:rPr>
        <w:t> </w:t>
      </w:r>
      <w:r w:rsidRPr="00E13F63">
        <w:rPr>
          <w:rFonts w:ascii="Arial Narrow" w:hAnsi="Arial Narrow" w:cs="Times New Roman"/>
          <w:i/>
          <w:sz w:val="24"/>
          <w:szCs w:val="24"/>
        </w:rPr>
        <w:t>financováním</w:t>
      </w:r>
      <w:r w:rsidR="00840385" w:rsidRPr="00E13F63">
        <w:rPr>
          <w:rFonts w:ascii="Arial Narrow" w:hAnsi="Arial Narrow" w:cs="Times New Roman"/>
          <w:i/>
          <w:sz w:val="24"/>
          <w:szCs w:val="24"/>
        </w:rPr>
        <w:t>, rozvojem</w:t>
      </w:r>
      <w:r w:rsidR="00840385" w:rsidRPr="00E13F63">
        <w:rPr>
          <w:rFonts w:ascii="Arial Narrow" w:hAnsi="Arial Narrow" w:cs="Times New Roman"/>
          <w:i/>
          <w:noProof/>
          <w:sz w:val="24"/>
          <w:szCs w:val="24"/>
        </w:rPr>
        <w:t xml:space="preserve"> možností kariérního postupu, možnostmi habilitačního řízení, se vztahy na pracovišti apod.</w:t>
      </w:r>
    </w:p>
    <w:p w:rsidR="00B85C5E" w:rsidRPr="00E13F63" w:rsidRDefault="00B85C5E" w:rsidP="00B85C5E">
      <w:pPr>
        <w:spacing w:line="360" w:lineRule="auto"/>
        <w:jc w:val="both"/>
        <w:rPr>
          <w:rFonts w:ascii="Arial Narrow" w:hAnsi="Arial Narrow" w:cs="Times New Roman"/>
          <w:sz w:val="24"/>
          <w:szCs w:val="24"/>
        </w:rPr>
      </w:pPr>
      <w:r w:rsidRPr="00E13F63">
        <w:rPr>
          <w:rFonts w:ascii="Arial Narrow" w:hAnsi="Arial Narrow" w:cs="Times New Roman"/>
          <w:i/>
          <w:sz w:val="24"/>
          <w:szCs w:val="24"/>
        </w:rPr>
        <w:t>„</w:t>
      </w:r>
      <w:r w:rsidRPr="00E13F63">
        <w:rPr>
          <w:rFonts w:ascii="Arial Narrow" w:hAnsi="Arial Narrow" w:cs="Times New Roman"/>
          <w:sz w:val="24"/>
          <w:szCs w:val="24"/>
        </w:rPr>
        <w:t xml:space="preserve">Bude třeba nepolevovat v úsilí získat pro VŠ XXX perspektivní mladé akademické pracovníky, kteří mají zájem o pedagogickou činnost. Součásti by si měly vytvořit finanční zdroje, aby mohly nabídnout nastupujícím </w:t>
      </w:r>
      <w:proofErr w:type="spellStart"/>
      <w:r w:rsidRPr="00E13F63">
        <w:rPr>
          <w:rFonts w:ascii="Arial Narrow" w:hAnsi="Arial Narrow" w:cs="Times New Roman"/>
          <w:sz w:val="24"/>
          <w:szCs w:val="24"/>
        </w:rPr>
        <w:t>postdoktorům</w:t>
      </w:r>
      <w:proofErr w:type="spellEnd"/>
      <w:r w:rsidRPr="00E13F63">
        <w:rPr>
          <w:rFonts w:ascii="Arial Narrow" w:hAnsi="Arial Narrow" w:cs="Times New Roman"/>
          <w:sz w:val="24"/>
          <w:szCs w:val="24"/>
        </w:rPr>
        <w:t xml:space="preserve"> a úspěšným absolventům přijatelnou úroveň nástupního platu, v odůvodněných případech k tomu využívat jako nástroje smluvní mzdy.“ </w:t>
      </w:r>
      <w:r w:rsidRPr="00E13F63">
        <w:rPr>
          <w:rFonts w:ascii="Arial Narrow" w:hAnsi="Arial Narrow" w:cs="Times New Roman"/>
          <w:i/>
          <w:sz w:val="24"/>
          <w:szCs w:val="24"/>
        </w:rPr>
        <w:t xml:space="preserve">Srozumitelné, ale realizačně označováno jako sporné (dopady na atmosféru v kolektivu AP, není jasné, kde mají součásti hledat zdroje). Tato problematika si zaslouží pozornost a posouzení, zda se nejedná o „dřímající problém“, který se v ČR již projevuje v jiných, např. lékařských, oborech. Podobně: </w:t>
      </w:r>
      <w:r w:rsidRPr="00E13F63">
        <w:rPr>
          <w:rFonts w:ascii="Arial Narrow" w:hAnsi="Arial Narrow" w:cs="Times New Roman"/>
          <w:sz w:val="24"/>
          <w:szCs w:val="24"/>
        </w:rPr>
        <w:t xml:space="preserve">Je třeba klást dále důraz na zaměstnávání doktorandů a přípravu startovních pozic pro absolventy doktorského studia.“ </w:t>
      </w:r>
      <w:r w:rsidRPr="00E13F63">
        <w:rPr>
          <w:rFonts w:ascii="Arial Narrow" w:hAnsi="Arial Narrow" w:cs="Times New Roman"/>
          <w:i/>
          <w:sz w:val="24"/>
          <w:szCs w:val="24"/>
        </w:rPr>
        <w:t>Obecně platné – možné doporučení do priorit MŠMT pro DZ, OP VVV aj.</w:t>
      </w:r>
      <w:r w:rsidRPr="00E13F63">
        <w:rPr>
          <w:rFonts w:ascii="Arial Narrow" w:hAnsi="Arial Narrow" w:cs="Times New Roman"/>
          <w:sz w:val="24"/>
          <w:szCs w:val="24"/>
        </w:rPr>
        <w:t xml:space="preserve"> „Problémy působí zákonem omezené </w:t>
      </w:r>
      <w:r w:rsidRPr="00E13F63">
        <w:rPr>
          <w:rFonts w:ascii="Arial Narrow" w:hAnsi="Arial Narrow" w:cs="Times New Roman"/>
          <w:sz w:val="24"/>
          <w:szCs w:val="24"/>
        </w:rPr>
        <w:lastRenderedPageBreak/>
        <w:t xml:space="preserve">řetězení termínovaných smluv.“ </w:t>
      </w:r>
      <w:r w:rsidRPr="00E13F63">
        <w:rPr>
          <w:rFonts w:ascii="Arial Narrow" w:hAnsi="Arial Narrow" w:cs="Times New Roman"/>
          <w:i/>
          <w:sz w:val="24"/>
          <w:szCs w:val="24"/>
        </w:rPr>
        <w:t>Patří mezi často připomínkované problémy i reprezentacemi VŠ. Možné doplnění řešení v novele VŠ zákona?</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Spíše výjimečně se objevuje:</w:t>
      </w:r>
      <w:r w:rsidRPr="00E13F63">
        <w:rPr>
          <w:rFonts w:ascii="Arial Narrow" w:hAnsi="Arial Narrow" w:cs="Times New Roman"/>
        </w:rPr>
        <w:t xml:space="preserve"> „Celkový počet profesorů poklesl od roku 2009 o K %.“ </w:t>
      </w:r>
      <w:r w:rsidRPr="00E13F63">
        <w:rPr>
          <w:rFonts w:ascii="Arial Narrow" w:hAnsi="Arial Narrow" w:cs="Times New Roman"/>
          <w:i/>
        </w:rPr>
        <w:t>VŠ většinou reagovaly na nároky AK. Otázkou je kvalita těchto řešení (viz „létající profesoři“). Specifická je zřejmě situace u uměleckých oborů: „</w:t>
      </w:r>
      <w:r w:rsidRPr="00E13F63">
        <w:rPr>
          <w:rFonts w:ascii="Arial Narrow" w:hAnsi="Arial Narrow" w:cs="Times New Roman"/>
        </w:rPr>
        <w:t xml:space="preserve">Pro akademické pracovníky-umělce však není klasický akademický kariérní postup prioritou.“ </w:t>
      </w:r>
      <w:r w:rsidRPr="00E13F63">
        <w:rPr>
          <w:rFonts w:ascii="Arial Narrow" w:hAnsi="Arial Narrow" w:cs="Times New Roman"/>
          <w:i/>
        </w:rPr>
        <w:t>Velmi zajímavý postřeh pro čtenáře z neuměleckých VŠ.</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 xml:space="preserve">Problematika priorit tvůrčí činnosti je v uvedených podkladech sice uváděna, ale v navazujících rozborech skryta. Výčet lze označit za spíše tradiční. Zajímavé je sledovat přístup VŠ k uvádění slova excelence (viz výpis priorit níže), viz též </w:t>
      </w:r>
      <w:r w:rsidRPr="00E13F63">
        <w:rPr>
          <w:rFonts w:ascii="Arial Narrow" w:hAnsi="Arial Narrow" w:cs="Times New Roman"/>
          <w:b/>
        </w:rPr>
        <w:t xml:space="preserve">MŠMT </w:t>
      </w:r>
      <w:r w:rsidRPr="00E13F63">
        <w:rPr>
          <w:rFonts w:ascii="Arial Narrow" w:eastAsia="Times New Roman" w:hAnsi="Arial Narrow" w:cs="Times New Roman"/>
          <w:b/>
        </w:rPr>
        <w:t xml:space="preserve">Bod 9: </w:t>
      </w:r>
      <w:r w:rsidRPr="00E13F63">
        <w:rPr>
          <w:rFonts w:ascii="Arial Narrow" w:eastAsia="Times New Roman" w:hAnsi="Arial Narrow" w:cs="Times New Roman"/>
        </w:rPr>
        <w:t>Široká kvalitní vzdělanost versus ostrůvky excelence.</w:t>
      </w:r>
    </w:p>
    <w:tbl>
      <w:tblPr>
        <w:tblW w:w="9406" w:type="dxa"/>
        <w:tblInd w:w="70" w:type="dxa"/>
        <w:tblCellMar>
          <w:left w:w="70" w:type="dxa"/>
          <w:right w:w="70" w:type="dxa"/>
        </w:tblCellMar>
        <w:tblLook w:val="04A0" w:firstRow="1" w:lastRow="0" w:firstColumn="1" w:lastColumn="0" w:noHBand="0" w:noVBand="1"/>
      </w:tblPr>
      <w:tblGrid>
        <w:gridCol w:w="9406"/>
      </w:tblGrid>
      <w:tr w:rsidR="00B85C5E" w:rsidRPr="00E13F63" w:rsidTr="00DC28D6">
        <w:trPr>
          <w:trHeight w:val="300"/>
        </w:trPr>
        <w:tc>
          <w:tcPr>
            <w:tcW w:w="9406" w:type="dxa"/>
            <w:tcBorders>
              <w:top w:val="nil"/>
              <w:left w:val="nil"/>
              <w:bottom w:val="nil"/>
              <w:right w:val="nil"/>
            </w:tcBorders>
            <w:shd w:val="clear" w:color="auto" w:fill="auto"/>
            <w:noWrap/>
            <w:vAlign w:val="bottom"/>
            <w:hideMark/>
          </w:tcPr>
          <w:p w:rsidR="00B85C5E" w:rsidRPr="00E13F63" w:rsidRDefault="00B85C5E" w:rsidP="00DC28D6">
            <w:pPr>
              <w:spacing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VaV</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VaV</w:t>
            </w:r>
          </w:p>
        </w:tc>
      </w:tr>
      <w:tr w:rsidR="00B85C5E" w:rsidRPr="00E13F63" w:rsidTr="00DC28D6">
        <w:trPr>
          <w:trHeight w:val="300"/>
        </w:trPr>
        <w:tc>
          <w:tcPr>
            <w:tcW w:w="9406" w:type="dxa"/>
            <w:tcBorders>
              <w:top w:val="nil"/>
              <w:left w:val="nil"/>
              <w:bottom w:val="nil"/>
              <w:right w:val="nil"/>
            </w:tcBorders>
            <w:shd w:val="clear" w:color="000000" w:fill="8DB4E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Portfolio aplikovaných výzkumů</w:t>
            </w:r>
          </w:p>
        </w:tc>
      </w:tr>
      <w:tr w:rsidR="00B85C5E" w:rsidRPr="00E13F63" w:rsidTr="00DC28D6">
        <w:trPr>
          <w:trHeight w:val="300"/>
        </w:trPr>
        <w:tc>
          <w:tcPr>
            <w:tcW w:w="9406" w:type="dxa"/>
            <w:tcBorders>
              <w:top w:val="nil"/>
              <w:left w:val="nil"/>
              <w:bottom w:val="nil"/>
              <w:right w:val="nil"/>
            </w:tcBorders>
            <w:shd w:val="clear" w:color="000000" w:fill="8DB4E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a hodnocení vědeckovýzkumných aktivit</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Výzkumné obory</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Výzkumné obory</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Výzkumné obory</w:t>
            </w:r>
          </w:p>
        </w:tc>
      </w:tr>
      <w:tr w:rsidR="00B85C5E" w:rsidRPr="00E13F63" w:rsidTr="00DC28D6">
        <w:trPr>
          <w:trHeight w:val="300"/>
        </w:trPr>
        <w:tc>
          <w:tcPr>
            <w:tcW w:w="9406" w:type="dxa"/>
            <w:tcBorders>
              <w:top w:val="nil"/>
              <w:left w:val="nil"/>
              <w:bottom w:val="nil"/>
              <w:right w:val="nil"/>
            </w:tcBorders>
            <w:shd w:val="clear" w:color="000000" w:fill="D7E4BC"/>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vědeckovýzkumné činnosti</w:t>
            </w:r>
          </w:p>
        </w:tc>
      </w:tr>
      <w:tr w:rsidR="00B85C5E" w:rsidRPr="00E13F63" w:rsidTr="00DC28D6">
        <w:trPr>
          <w:trHeight w:val="300"/>
        </w:trPr>
        <w:tc>
          <w:tcPr>
            <w:tcW w:w="9406" w:type="dxa"/>
            <w:tcBorders>
              <w:top w:val="nil"/>
              <w:left w:val="nil"/>
              <w:bottom w:val="nil"/>
              <w:right w:val="nil"/>
            </w:tcBorders>
            <w:shd w:val="clear" w:color="000000" w:fill="D7E4BC"/>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Podpora vědeckovýzkumné činnosti</w:t>
            </w:r>
          </w:p>
        </w:tc>
      </w:tr>
      <w:tr w:rsidR="00B85C5E" w:rsidRPr="00E13F63" w:rsidTr="00DC28D6">
        <w:trPr>
          <w:trHeight w:val="300"/>
        </w:trPr>
        <w:tc>
          <w:tcPr>
            <w:tcW w:w="9406" w:type="dxa"/>
            <w:tcBorders>
              <w:top w:val="nil"/>
              <w:left w:val="nil"/>
              <w:bottom w:val="nil"/>
              <w:right w:val="nil"/>
            </w:tcBorders>
            <w:shd w:val="clear" w:color="000000" w:fill="D7E4BC"/>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Podpora smluvního výzkumu</w:t>
            </w:r>
          </w:p>
        </w:tc>
      </w:tr>
      <w:tr w:rsidR="00B85C5E" w:rsidRPr="00E13F63" w:rsidTr="00DC28D6">
        <w:trPr>
          <w:trHeight w:val="300"/>
        </w:trPr>
        <w:tc>
          <w:tcPr>
            <w:tcW w:w="9406" w:type="dxa"/>
            <w:tcBorders>
              <w:top w:val="nil"/>
              <w:left w:val="nil"/>
              <w:bottom w:val="nil"/>
              <w:right w:val="nil"/>
            </w:tcBorders>
            <w:shd w:val="clear" w:color="000000" w:fill="F2DDDC"/>
            <w:noWrap/>
            <w:vAlign w:val="center"/>
            <w:hideMark/>
          </w:tcPr>
          <w:p w:rsidR="00B85C5E" w:rsidRPr="00E13F63" w:rsidRDefault="00B85C5E" w:rsidP="00DC28D6">
            <w:pPr>
              <w:spacing w:after="0" w:line="240" w:lineRule="auto"/>
              <w:rPr>
                <w:rFonts w:ascii="Arial Narrow" w:eastAsia="Times New Roman" w:hAnsi="Arial Narrow" w:cs="Arial"/>
                <w:b/>
                <w:bCs/>
                <w:sz w:val="20"/>
                <w:szCs w:val="20"/>
              </w:rPr>
            </w:pPr>
            <w:r w:rsidRPr="00E13F63">
              <w:rPr>
                <w:rFonts w:ascii="Arial Narrow" w:eastAsia="Times New Roman" w:hAnsi="Arial Narrow" w:cs="Arial"/>
                <w:b/>
                <w:bCs/>
                <w:sz w:val="20"/>
                <w:szCs w:val="20"/>
              </w:rPr>
              <w:t>Stabilizovat postavení kvalitního výzkumu</w:t>
            </w:r>
          </w:p>
        </w:tc>
      </w:tr>
      <w:tr w:rsidR="00B85C5E" w:rsidRPr="00E13F63" w:rsidTr="00DC28D6">
        <w:trPr>
          <w:trHeight w:val="300"/>
        </w:trPr>
        <w:tc>
          <w:tcPr>
            <w:tcW w:w="9406" w:type="dxa"/>
            <w:tcBorders>
              <w:top w:val="nil"/>
              <w:left w:val="nil"/>
              <w:bottom w:val="nil"/>
              <w:right w:val="nil"/>
            </w:tcBorders>
            <w:shd w:val="clear" w:color="000000" w:fill="F2DDDC"/>
            <w:noWrap/>
            <w:vAlign w:val="center"/>
            <w:hideMark/>
          </w:tcPr>
          <w:p w:rsidR="00B85C5E" w:rsidRPr="00E13F63" w:rsidRDefault="00B85C5E" w:rsidP="00DC28D6">
            <w:pPr>
              <w:spacing w:after="0" w:line="240" w:lineRule="auto"/>
              <w:rPr>
                <w:rFonts w:ascii="Arial Narrow" w:eastAsia="Times New Roman" w:hAnsi="Arial Narrow" w:cs="Arial"/>
                <w:b/>
                <w:bCs/>
                <w:sz w:val="20"/>
                <w:szCs w:val="20"/>
              </w:rPr>
            </w:pPr>
            <w:r w:rsidRPr="00E13F63">
              <w:rPr>
                <w:rFonts w:ascii="Arial Narrow" w:eastAsia="Times New Roman" w:hAnsi="Arial Narrow" w:cs="Arial"/>
                <w:b/>
                <w:bCs/>
                <w:sz w:val="20"/>
                <w:szCs w:val="20"/>
              </w:rPr>
              <w:t>Posilování udržitelnosti projektů</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vlastní publikační a nakladatelské aktivity</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Navýšení prostředků pro vědu a výzkum</w:t>
            </w:r>
          </w:p>
        </w:tc>
      </w:tr>
      <w:tr w:rsidR="00B85C5E" w:rsidRPr="00E13F63" w:rsidTr="00DC28D6">
        <w:trPr>
          <w:trHeight w:val="300"/>
        </w:trPr>
        <w:tc>
          <w:tcPr>
            <w:tcW w:w="9406" w:type="dxa"/>
            <w:tcBorders>
              <w:top w:val="nil"/>
              <w:left w:val="nil"/>
              <w:bottom w:val="nil"/>
              <w:right w:val="nil"/>
            </w:tcBorders>
            <w:shd w:val="clear" w:color="000000" w:fill="DBEEF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Výzkumné obory</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vědecké, výzkumné a další tvůrčí činnosti</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2030 - Strategie VaV</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2020 - Získávání projektů a grantů</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Vědecký výkon (využití kvalitních výzkumníků a výzkumných skupin, excelence ve vybraných oblastech, počet doktorských studijních oborů na některých součástech)</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Rozšíření spolupráce v rovině aplikačního výzkumu (posílení podílu prostředků VaV na financování univerzity spolu s rozšířením nabídky doktorských programů, zlepšení podmínek pro práci vědeckých a akademických pracovníků) </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Výzkumné obory, rozvoj VaVaI</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rPr>
            </w:pPr>
            <w:r w:rsidRPr="00E13F63">
              <w:rPr>
                <w:rFonts w:ascii="Arial Narrow" w:eastAsia="Times New Roman" w:hAnsi="Arial Narrow" w:cs="Times New Roman"/>
                <w:b/>
                <w:bCs/>
              </w:rPr>
              <w:t>Mezinárodní projekty a vědecko-výzkumné sítě</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Vědecko-výzkumné aktivity a podpora tvůrčí činnosti</w:t>
            </w:r>
          </w:p>
        </w:tc>
      </w:tr>
      <w:tr w:rsidR="00B85C5E" w:rsidRPr="00E13F63" w:rsidTr="00DC28D6">
        <w:trPr>
          <w:trHeight w:val="300"/>
        </w:trPr>
        <w:tc>
          <w:tcPr>
            <w:tcW w:w="9406" w:type="dxa"/>
            <w:tcBorders>
              <w:top w:val="nil"/>
              <w:left w:val="nil"/>
              <w:bottom w:val="nil"/>
              <w:right w:val="nil"/>
            </w:tcBorders>
            <w:shd w:val="clear" w:color="000000" w:fill="00CC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Mezinárodní spolupráce ve výzkumu, vývoji a inovacích</w:t>
            </w:r>
          </w:p>
        </w:tc>
      </w:tr>
      <w:tr w:rsidR="00B85C5E" w:rsidRPr="00E13F63" w:rsidTr="00DC28D6">
        <w:trPr>
          <w:trHeight w:val="300"/>
        </w:trPr>
        <w:tc>
          <w:tcPr>
            <w:tcW w:w="9406" w:type="dxa"/>
            <w:tcBorders>
              <w:top w:val="nil"/>
              <w:left w:val="nil"/>
              <w:bottom w:val="nil"/>
              <w:right w:val="nil"/>
            </w:tcBorders>
            <w:shd w:val="clear" w:color="000000" w:fill="00CC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se subjekty aplikační sféry ve výzkumné, vývojové a inovační činnosti</w:t>
            </w:r>
          </w:p>
        </w:tc>
      </w:tr>
      <w:tr w:rsidR="00B85C5E" w:rsidRPr="00E13F63" w:rsidTr="00DC28D6">
        <w:trPr>
          <w:trHeight w:val="300"/>
        </w:trPr>
        <w:tc>
          <w:tcPr>
            <w:tcW w:w="9406" w:type="dxa"/>
            <w:tcBorders>
              <w:top w:val="nil"/>
              <w:left w:val="nil"/>
              <w:bottom w:val="nil"/>
              <w:right w:val="nil"/>
            </w:tcBorders>
            <w:shd w:val="clear" w:color="000000" w:fill="00CC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Obnova a rozvoj infrastruktury pro výzkumnou, vývojovou a inovační činnost</w:t>
            </w:r>
          </w:p>
        </w:tc>
      </w:tr>
      <w:tr w:rsidR="00B85C5E" w:rsidRPr="00E13F63" w:rsidTr="00DC28D6">
        <w:trPr>
          <w:trHeight w:val="300"/>
        </w:trPr>
        <w:tc>
          <w:tcPr>
            <w:tcW w:w="9406" w:type="dxa"/>
            <w:tcBorders>
              <w:top w:val="nil"/>
              <w:left w:val="nil"/>
              <w:bottom w:val="nil"/>
              <w:right w:val="nil"/>
            </w:tcBorders>
            <w:shd w:val="clear" w:color="000000" w:fill="00CC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Integrace a sdílení kapacit pro výzkumnou, vývojovou a inovační činnost</w:t>
            </w:r>
          </w:p>
        </w:tc>
      </w:tr>
      <w:tr w:rsidR="00B85C5E" w:rsidRPr="00E13F63" w:rsidTr="00DC28D6">
        <w:trPr>
          <w:trHeight w:val="300"/>
        </w:trPr>
        <w:tc>
          <w:tcPr>
            <w:tcW w:w="9406" w:type="dxa"/>
            <w:tcBorders>
              <w:top w:val="nil"/>
              <w:left w:val="nil"/>
              <w:bottom w:val="nil"/>
              <w:right w:val="nil"/>
            </w:tcBorders>
            <w:shd w:val="clear" w:color="000000" w:fill="00CC99"/>
            <w:noWrap/>
            <w:vAlign w:val="bottom"/>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Lidské zdroje pro výzkum, vývoj a inovace</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Zajištění kvality VaV a tvůrčích aktivit v tuzemském a mezinárodním měřítku; centra excelence</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aplikační sférou; komercializace výsledků duševního vlastnictví; popularizace vědy</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Výzkumné obory</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Rozvoj projekt. </w:t>
            </w:r>
            <w:proofErr w:type="gramStart"/>
            <w:r w:rsidRPr="00E13F63">
              <w:rPr>
                <w:rFonts w:ascii="Arial Narrow" w:eastAsia="Times New Roman" w:hAnsi="Arial Narrow" w:cs="Times New Roman"/>
                <w:b/>
                <w:bCs/>
                <w:color w:val="000000"/>
              </w:rPr>
              <w:t>čin</w:t>
            </w:r>
            <w:proofErr w:type="gramEnd"/>
            <w:r w:rsidRPr="00E13F63">
              <w:rPr>
                <w:rFonts w:ascii="Arial Narrow" w:eastAsia="Times New Roman" w:hAnsi="Arial Narrow" w:cs="Times New Roman"/>
                <w:b/>
                <w:bCs/>
                <w:color w:val="000000"/>
              </w:rPr>
              <w:t xml:space="preserve">. </w:t>
            </w:r>
            <w:proofErr w:type="gramStart"/>
            <w:r w:rsidRPr="00E13F63">
              <w:rPr>
                <w:rFonts w:ascii="Arial Narrow" w:eastAsia="Times New Roman" w:hAnsi="Arial Narrow" w:cs="Times New Roman"/>
                <w:b/>
                <w:bCs/>
                <w:color w:val="000000"/>
              </w:rPr>
              <w:t>VaVaI a  činnosti</w:t>
            </w:r>
            <w:proofErr w:type="gramEnd"/>
            <w:r w:rsidRPr="00E13F63">
              <w:rPr>
                <w:rFonts w:ascii="Arial Narrow" w:eastAsia="Times New Roman" w:hAnsi="Arial Narrow" w:cs="Times New Roman"/>
                <w:b/>
                <w:bCs/>
                <w:color w:val="000000"/>
              </w:rPr>
              <w:t xml:space="preserve"> VT parků </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Rozvoj </w:t>
            </w:r>
            <w:proofErr w:type="spellStart"/>
            <w:r w:rsidRPr="00E13F63">
              <w:rPr>
                <w:rFonts w:ascii="Arial Narrow" w:eastAsia="Times New Roman" w:hAnsi="Arial Narrow" w:cs="Times New Roman"/>
                <w:b/>
                <w:bCs/>
                <w:color w:val="000000"/>
              </w:rPr>
              <w:t>excelent</w:t>
            </w:r>
            <w:proofErr w:type="spellEnd"/>
            <w:r w:rsidRPr="00E13F63">
              <w:rPr>
                <w:rFonts w:ascii="Arial Narrow" w:eastAsia="Times New Roman" w:hAnsi="Arial Narrow" w:cs="Times New Roman"/>
                <w:b/>
                <w:bCs/>
                <w:color w:val="000000"/>
              </w:rPr>
              <w:t xml:space="preserve">. výstupů v pěstovaných </w:t>
            </w:r>
            <w:proofErr w:type="spellStart"/>
            <w:r w:rsidRPr="00E13F63">
              <w:rPr>
                <w:rFonts w:ascii="Arial Narrow" w:eastAsia="Times New Roman" w:hAnsi="Arial Narrow" w:cs="Times New Roman"/>
                <w:b/>
                <w:bCs/>
                <w:color w:val="000000"/>
              </w:rPr>
              <w:t>tvůrč</w:t>
            </w:r>
            <w:proofErr w:type="spellEnd"/>
            <w:r w:rsidRPr="00E13F63">
              <w:rPr>
                <w:rFonts w:ascii="Arial Narrow" w:eastAsia="Times New Roman" w:hAnsi="Arial Narrow" w:cs="Times New Roman"/>
                <w:b/>
                <w:bCs/>
                <w:color w:val="000000"/>
              </w:rPr>
              <w:t xml:space="preserve">. směrech, rozvoj </w:t>
            </w:r>
            <w:proofErr w:type="spellStart"/>
            <w:r w:rsidRPr="00E13F63">
              <w:rPr>
                <w:rFonts w:ascii="Arial Narrow" w:eastAsia="Times New Roman" w:hAnsi="Arial Narrow" w:cs="Times New Roman"/>
                <w:b/>
                <w:bCs/>
                <w:color w:val="000000"/>
              </w:rPr>
              <w:t>ost</w:t>
            </w:r>
            <w:proofErr w:type="spellEnd"/>
            <w:r w:rsidRPr="00E13F63">
              <w:rPr>
                <w:rFonts w:ascii="Arial Narrow" w:eastAsia="Times New Roman" w:hAnsi="Arial Narrow" w:cs="Times New Roman"/>
                <w:b/>
                <w:bCs/>
                <w:color w:val="000000"/>
              </w:rPr>
              <w:t xml:space="preserve">. </w:t>
            </w:r>
            <w:proofErr w:type="gramStart"/>
            <w:r w:rsidRPr="00E13F63">
              <w:rPr>
                <w:rFonts w:ascii="Arial Narrow" w:eastAsia="Times New Roman" w:hAnsi="Arial Narrow" w:cs="Times New Roman"/>
                <w:b/>
                <w:bCs/>
                <w:color w:val="000000"/>
              </w:rPr>
              <w:t>tvůrčích</w:t>
            </w:r>
            <w:proofErr w:type="gramEnd"/>
            <w:r w:rsidRPr="00E13F63">
              <w:rPr>
                <w:rFonts w:ascii="Arial Narrow" w:eastAsia="Times New Roman" w:hAnsi="Arial Narrow" w:cs="Times New Roman"/>
                <w:b/>
                <w:bCs/>
                <w:color w:val="000000"/>
              </w:rPr>
              <w:t xml:space="preserve"> směrů</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spolupráce na úrovni aplikační sféry v rámci V a V</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rPr>
            </w:pPr>
            <w:r w:rsidRPr="00E13F63">
              <w:rPr>
                <w:rFonts w:ascii="Arial Narrow" w:eastAsia="Times New Roman" w:hAnsi="Arial Narrow" w:cs="Times New Roman"/>
                <w:b/>
                <w:bCs/>
              </w:rPr>
              <w:t xml:space="preserve">Rozvoj </w:t>
            </w:r>
            <w:proofErr w:type="spellStart"/>
            <w:r w:rsidRPr="00E13F63">
              <w:rPr>
                <w:rFonts w:ascii="Arial Narrow" w:eastAsia="Times New Roman" w:hAnsi="Arial Narrow" w:cs="Times New Roman"/>
                <w:b/>
                <w:bCs/>
              </w:rPr>
              <w:t>mezinár</w:t>
            </w:r>
            <w:proofErr w:type="spellEnd"/>
            <w:r w:rsidRPr="00E13F63">
              <w:rPr>
                <w:rFonts w:ascii="Arial Narrow" w:eastAsia="Times New Roman" w:hAnsi="Arial Narrow" w:cs="Times New Roman"/>
                <w:b/>
                <w:bCs/>
              </w:rPr>
              <w:t xml:space="preserve">. </w:t>
            </w:r>
            <w:proofErr w:type="gramStart"/>
            <w:r w:rsidRPr="00E13F63">
              <w:rPr>
                <w:rFonts w:ascii="Arial Narrow" w:eastAsia="Times New Roman" w:hAnsi="Arial Narrow" w:cs="Times New Roman"/>
                <w:b/>
                <w:bCs/>
              </w:rPr>
              <w:t>spolupráce</w:t>
            </w:r>
            <w:proofErr w:type="gramEnd"/>
            <w:r w:rsidRPr="00E13F63">
              <w:rPr>
                <w:rFonts w:ascii="Arial Narrow" w:eastAsia="Times New Roman" w:hAnsi="Arial Narrow" w:cs="Times New Roman"/>
                <w:b/>
                <w:bCs/>
              </w:rPr>
              <w:t xml:space="preserve"> v oblasti VaV a mezinárodních mobilit </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VaV</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Vytváření projektů</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rPr>
            </w:pPr>
            <w:r w:rsidRPr="00E13F63">
              <w:rPr>
                <w:rFonts w:ascii="Arial Narrow" w:eastAsia="Times New Roman" w:hAnsi="Arial Narrow" w:cs="Times New Roman"/>
                <w:b/>
                <w:bCs/>
              </w:rPr>
              <w:t>Podpora vědy a výzkumu</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sz w:val="20"/>
                <w:szCs w:val="20"/>
              </w:rPr>
            </w:pPr>
            <w:r w:rsidRPr="00E13F63">
              <w:rPr>
                <w:rFonts w:ascii="Arial Narrow" w:eastAsia="Times New Roman" w:hAnsi="Arial Narrow" w:cs="Times New Roman"/>
                <w:b/>
                <w:bCs/>
                <w:sz w:val="20"/>
                <w:szCs w:val="20"/>
              </w:rPr>
              <w:t>Výzkumné obory</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Relevance vědecko-výzkumné činnosti (základního i aplikovaného výzkumu)</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Aktivity vedoucí k rozvoji vědy a výzkumu</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Udržitelnost a rozvoj vědecké a výzkumné činnosti (Trvalá udržitelnost projektů VaVaI), zvýšení provázanosti oborů</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Cílová orientace V&amp;V</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Aplikovaný výzkum - vymezení oblastí aplikovaného výzkumu, výstavba laboratoře, </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Tvůrčí činnost, věda a výzkum</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VaV</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Zajištění projektů VaVaI</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Posílení finančních zdrojů na VaVaI</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Propojení školy do programů VaVaI kraje</w:t>
            </w:r>
          </w:p>
        </w:tc>
      </w:tr>
      <w:tr w:rsidR="00B85C5E" w:rsidRPr="00E13F63" w:rsidTr="00DC28D6">
        <w:trPr>
          <w:trHeight w:val="300"/>
        </w:trPr>
        <w:tc>
          <w:tcPr>
            <w:tcW w:w="9406" w:type="dxa"/>
            <w:tcBorders>
              <w:top w:val="nil"/>
              <w:left w:val="nil"/>
              <w:bottom w:val="nil"/>
              <w:right w:val="nil"/>
            </w:tcBorders>
            <w:shd w:val="clear" w:color="000000" w:fill="538ED5"/>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a udržitelnost tvůrčí činnosti</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výstupů výzkumných, vývojových a tvůrčích aktivit</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Komplexní a mezioborové výzkumné centrum </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Výzkumné obory</w:t>
            </w:r>
          </w:p>
        </w:tc>
      </w:tr>
    </w:tbl>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b/>
        </w:rPr>
        <w:t xml:space="preserve">Administrativa: </w:t>
      </w:r>
      <w:r w:rsidRPr="00E13F63">
        <w:rPr>
          <w:rFonts w:ascii="Arial Narrow" w:hAnsi="Arial Narrow" w:cs="Times New Roman"/>
        </w:rPr>
        <w:t xml:space="preserve">„Jsou k dispozici stále kvalifikovanější administrativní zaměstnanci.“ </w:t>
      </w:r>
      <w:r w:rsidRPr="00E13F63">
        <w:rPr>
          <w:rFonts w:ascii="Arial Narrow" w:hAnsi="Arial Narrow" w:cs="Times New Roman"/>
          <w:i/>
        </w:rPr>
        <w:t>Z</w:t>
      </w:r>
      <w:r w:rsidR="0048025F">
        <w:rPr>
          <w:rFonts w:ascii="Arial Narrow" w:hAnsi="Arial Narrow" w:cs="Times New Roman"/>
          <w:i/>
        </w:rPr>
        <w:t> </w:t>
      </w:r>
      <w:r w:rsidRPr="00E13F63">
        <w:rPr>
          <w:rFonts w:ascii="Arial Narrow" w:hAnsi="Arial Narrow" w:cs="Times New Roman"/>
          <w:i/>
        </w:rPr>
        <w:t>čeho</w:t>
      </w:r>
      <w:r w:rsidR="0048025F">
        <w:rPr>
          <w:rFonts w:ascii="Arial Narrow" w:hAnsi="Arial Narrow" w:cs="Times New Roman"/>
          <w:i/>
        </w:rPr>
        <w:t xml:space="preserve"> to</w:t>
      </w:r>
      <w:r w:rsidRPr="00E13F63">
        <w:rPr>
          <w:rFonts w:ascii="Arial Narrow" w:hAnsi="Arial Narrow" w:cs="Times New Roman"/>
          <w:i/>
        </w:rPr>
        <w:t xml:space="preserve"> plyne?</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rPr>
        <w:t xml:space="preserve">„Do budoucna předpokládáme zkvalitnění administrativního zázemí a vyšší flexibilitu pracovní síly.“ </w:t>
      </w:r>
      <w:r w:rsidRPr="00E13F63">
        <w:rPr>
          <w:rFonts w:ascii="Arial Narrow" w:hAnsi="Arial Narrow" w:cs="Times New Roman"/>
          <w:i/>
        </w:rPr>
        <w:t>Proč vyšší flexibilitu? Díky vnitřním nebo vnějším vlivům?</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Možný růst administrativy je často uváděn ve vztahu k iniciativám ministerstev:</w:t>
      </w:r>
      <w:r w:rsidRPr="00E13F63">
        <w:rPr>
          <w:rFonts w:ascii="Arial Narrow" w:hAnsi="Arial Narrow" w:cs="Times New Roman"/>
        </w:rPr>
        <w:t xml:space="preserve"> „Vzhledem ke vzniku systému hodnocení kvality bude třeba přijmout administrativního pracovníka/pracovníky na tuto agendu. </w:t>
      </w:r>
      <w:r w:rsidRPr="00E13F63">
        <w:rPr>
          <w:rFonts w:ascii="Arial Narrow" w:hAnsi="Arial Narrow" w:cs="Times New Roman"/>
        </w:rPr>
        <w:lastRenderedPageBreak/>
        <w:t>Administrativní náročnost zatím není zřejmá. Pokud by došlo k uplatnění tzv. konsolidační vyhlášky na VŠ, bylo by třeba počítat s rozšířením administrativního aparátu v  oblasti ekonomické správy.“</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Všimněme si nyní odhadů vývoje zaměstnanců:</w:t>
      </w:r>
    </w:p>
    <w:p w:rsidR="00B85C5E" w:rsidRPr="00E13F63" w:rsidRDefault="00B85C5E" w:rsidP="00B85C5E">
      <w:pPr>
        <w:pStyle w:val="Default"/>
        <w:spacing w:before="120" w:line="360" w:lineRule="auto"/>
        <w:jc w:val="center"/>
        <w:rPr>
          <w:rFonts w:ascii="Arial Narrow" w:hAnsi="Arial Narrow" w:cs="Times New Roman"/>
        </w:rPr>
      </w:pPr>
      <w:r w:rsidRPr="00E13F63">
        <w:rPr>
          <w:rFonts w:ascii="Arial Narrow" w:hAnsi="Arial Narrow" w:cs="Times New Roman"/>
          <w:noProof/>
        </w:rPr>
        <w:drawing>
          <wp:inline distT="0" distB="0" distL="0" distR="0">
            <wp:extent cx="4572000" cy="2552700"/>
            <wp:effectExtent l="19050" t="0" r="19050" b="0"/>
            <wp:docPr id="12"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19: X-Y graf pro změny počtu zaměstnanců (5 VŠ).</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Obrázek přibližuje očekávání (pomocí poměrné změny k současnosti = index) z hlediska vývoje počtu zaměstnanců. Je zde vidět soulad změn z roku 2014 vůči roku 2020 (osa x) a z roku 2014 k roku 2030 (osa y). Následuje obr. 14a pro VVŠ, který tuto hypotézu potvrzuje:</w:t>
      </w:r>
    </w:p>
    <w:p w:rsidR="00B85C5E" w:rsidRPr="00E13F63" w:rsidRDefault="00B85C5E" w:rsidP="00B85C5E">
      <w:pPr>
        <w:pStyle w:val="Default"/>
        <w:spacing w:before="120" w:line="360" w:lineRule="auto"/>
        <w:jc w:val="center"/>
        <w:rPr>
          <w:rFonts w:ascii="Arial Narrow" w:hAnsi="Arial Narrow" w:cs="Times New Roman"/>
          <w:b/>
          <w:u w:val="single"/>
        </w:rPr>
      </w:pPr>
      <w:r w:rsidRPr="00E13F63">
        <w:rPr>
          <w:rFonts w:ascii="Arial Narrow" w:hAnsi="Arial Narrow" w:cs="Times New Roman"/>
          <w:b/>
          <w:noProof/>
          <w:u w:val="single"/>
        </w:rPr>
        <w:drawing>
          <wp:inline distT="0" distB="0" distL="0" distR="0">
            <wp:extent cx="4572000" cy="2619375"/>
            <wp:effectExtent l="19050" t="0" r="19050" b="0"/>
            <wp:docPr id="30" name="Graf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19a: X-Y graf pro změny počtu zaměstnanců (VVŠ).</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lastRenderedPageBreak/>
        <w:t>Lze konstatovat, že lze vypozorovat poměrně slušnou lineární souvislost mezi očekáváními VVŠ vzhledem k vývoji počtu zaměstnanců. Ještě doplňme, že zvýraznění počátku samostatným bodem představuje důsledek chybějících dat od některých VŠ, neznamená to, že se v těchto případech předpokládá, že VŠ bude zavřena pro nulový počet zaměstnanců.</w:t>
      </w:r>
    </w:p>
    <w:p w:rsidR="00B85C5E" w:rsidRPr="00E13F63" w:rsidRDefault="00B85C5E" w:rsidP="00B85C5E">
      <w:pPr>
        <w:pStyle w:val="Default"/>
        <w:spacing w:before="120" w:line="360" w:lineRule="auto"/>
        <w:jc w:val="center"/>
        <w:rPr>
          <w:rFonts w:ascii="Arial Narrow" w:hAnsi="Arial Narrow" w:cs="Times New Roman"/>
          <w:i/>
        </w:rPr>
      </w:pPr>
      <w:r w:rsidRPr="00E13F63">
        <w:rPr>
          <w:rFonts w:ascii="Arial Narrow" w:hAnsi="Arial Narrow" w:cs="Times New Roman"/>
          <w:i/>
          <w:noProof/>
        </w:rPr>
        <w:drawing>
          <wp:inline distT="0" distB="0" distL="0" distR="0">
            <wp:extent cx="4572000" cy="2600325"/>
            <wp:effectExtent l="19050" t="0" r="19050" b="0"/>
            <wp:docPr id="29"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19b: X-Y graf pro změny počtu zaměstnanců (VŠ).</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Data rozšířená o SVŠ zahrnují výraznou variabilitu.</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u w:val="single"/>
        </w:rPr>
        <w:t>Lidské zdroje - studenti:</w:t>
      </w:r>
      <w:r w:rsidRPr="00E13F63">
        <w:rPr>
          <w:rFonts w:ascii="Arial Narrow" w:hAnsi="Arial Narrow" w:cs="Times New Roman"/>
          <w:b/>
        </w:rPr>
        <w:t xml:space="preserve"> </w:t>
      </w:r>
      <w:r w:rsidRPr="00E13F63">
        <w:rPr>
          <w:rFonts w:ascii="Arial Narrow" w:hAnsi="Arial Narrow" w:cs="Times New Roman"/>
          <w:i/>
        </w:rPr>
        <w:t>Představy o dopadech demografie jsou překvapivě rozmanité. Veřejné VŠ ve větší míře akceptují pokles, i když i zde lze pozorovat určitý optimismus. Specializované malé a soukromé VŠ chtějí především udržet stávající čísla a dokonce i růst (byť nepřímo v jiných než prezentovaných ukazatelích).</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b/>
        </w:rPr>
        <w:t xml:space="preserve">Demografie: </w:t>
      </w:r>
      <w:r w:rsidRPr="00E13F63">
        <w:rPr>
          <w:rFonts w:ascii="Arial Narrow" w:hAnsi="Arial Narrow" w:cs="Times New Roman"/>
          <w:i/>
        </w:rPr>
        <w:t xml:space="preserve">Citace: </w:t>
      </w:r>
      <w:r w:rsidRPr="00E13F63">
        <w:rPr>
          <w:rFonts w:ascii="Arial Narrow" w:hAnsi="Arial Narrow" w:cs="Times New Roman"/>
        </w:rPr>
        <w:t>„Stávající počet studentů pohybující se v rozmezí plus/minus 10 % by neměl mít podstatný vliv na změnu systému řízení školy.“</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 xml:space="preserve">Pro některé atraktivní (zejména umělecké) obory nadále platí: </w:t>
      </w:r>
      <w:r w:rsidRPr="00E13F63">
        <w:rPr>
          <w:rFonts w:ascii="Arial Narrow" w:hAnsi="Arial Narrow" w:cs="Times New Roman"/>
        </w:rPr>
        <w:t xml:space="preserve">„Velký převis kvalitních uchazečů o studium.“ </w:t>
      </w:r>
      <w:r w:rsidRPr="00E13F63">
        <w:rPr>
          <w:rFonts w:ascii="Arial Narrow" w:hAnsi="Arial Narrow" w:cs="Times New Roman"/>
          <w:i/>
        </w:rPr>
        <w:t>Dokonce konstatováno:</w:t>
      </w:r>
      <w:r w:rsidRPr="00E13F63">
        <w:rPr>
          <w:rFonts w:ascii="Arial Narrow" w:hAnsi="Arial Narrow" w:cs="Times New Roman"/>
        </w:rPr>
        <w:t xml:space="preserve"> „I vhodní uchazeči odmítáni z kapacitních důvodů.“ </w:t>
      </w:r>
      <w:r w:rsidRPr="00E13F63">
        <w:rPr>
          <w:rFonts w:ascii="Arial Narrow" w:hAnsi="Arial Narrow" w:cs="Times New Roman"/>
          <w:i/>
        </w:rPr>
        <w:t>Úzce souvisí s dlouhodobou disku</w:t>
      </w:r>
      <w:r w:rsidR="00EC2EDC">
        <w:rPr>
          <w:rFonts w:ascii="Arial Narrow" w:hAnsi="Arial Narrow" w:cs="Times New Roman"/>
          <w:i/>
        </w:rPr>
        <w:t>z</w:t>
      </w:r>
      <w:r w:rsidRPr="00E13F63">
        <w:rPr>
          <w:rFonts w:ascii="Arial Narrow" w:hAnsi="Arial Narrow" w:cs="Times New Roman"/>
          <w:i/>
        </w:rPr>
        <w:t xml:space="preserve">í o uplatnění a uplatnitelnosti absolventů a zároveň s dopady plošného uplatnění snižování limitů financovaných studentů na náročné a výběrové obory. </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Jako podstatné jsou zmiňovány limity počtů financovaných studentů a objem financování studentů (vývoj normativu) z úrovně MŠMT.</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lastRenderedPageBreak/>
        <w:t>Otázky jsou formulovány k možnostem podpory studia v rámci budoucích OP VVV.</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b/>
          <w:sz w:val="24"/>
          <w:szCs w:val="24"/>
        </w:rPr>
        <w:t xml:space="preserve">Internacionalizace: </w:t>
      </w:r>
      <w:r w:rsidRPr="00E13F63">
        <w:rPr>
          <w:rFonts w:ascii="Arial Narrow" w:hAnsi="Arial Narrow" w:cs="Times New Roman"/>
          <w:i/>
          <w:sz w:val="24"/>
          <w:szCs w:val="24"/>
        </w:rPr>
        <w:t xml:space="preserve">Potřeba zlepšování jazykových schopností studentů (studium jazyků na některých oborech bohužel není prioritou, mnozí studenti ustrnou na středoškolských znalostech). Je nutná podpora internacionalizace, podpora výjezdů českých studentů. Nabízí se dokonce otázka: </w:t>
      </w:r>
      <w:r w:rsidRPr="00E13F63">
        <w:rPr>
          <w:rFonts w:ascii="Arial Narrow" w:hAnsi="Arial Narrow" w:cs="Times New Roman"/>
          <w:sz w:val="24"/>
          <w:szCs w:val="24"/>
        </w:rPr>
        <w:t>„zda výjezdy studentů za určitých podmínek by neměly být nárokové“</w:t>
      </w:r>
      <w:r w:rsidRPr="00E13F63">
        <w:rPr>
          <w:rFonts w:ascii="Arial Narrow" w:hAnsi="Arial Narrow" w:cs="Times New Roman"/>
          <w:i/>
          <w:sz w:val="24"/>
          <w:szCs w:val="24"/>
        </w:rPr>
        <w:t xml:space="preserve">. </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Co se týká příjezdů zahraničních studentů, u některých oborů je rentabilita výuky na hraně ekonomické udržitelnosti pro vyučující i pro zajištění výuky. Týká se to samozřejmě výměn studentů (Erasmus), nikoliv samoplátců. Objevují se poznámky, že ani adresné určení prostředků z ukazatele K neřeší tento problém.</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b/>
        </w:rPr>
        <w:t xml:space="preserve">Kvalita studia, uchazečů, rozvoj studijních oborů: </w:t>
      </w:r>
      <w:r w:rsidRPr="00E13F63">
        <w:rPr>
          <w:rFonts w:ascii="Arial Narrow" w:hAnsi="Arial Narrow" w:cs="Times New Roman"/>
          <w:i/>
        </w:rPr>
        <w:t>Pro pražské školy zvýrazněno: „</w:t>
      </w:r>
      <w:r w:rsidRPr="00E13F63">
        <w:rPr>
          <w:rFonts w:ascii="Arial Narrow" w:hAnsi="Arial Narrow" w:cs="Times New Roman"/>
        </w:rPr>
        <w:t xml:space="preserve">Překážkou je potřeba studentů pracovat v průběhu studia, protože jejich životní náklady nejsou často pokryty.“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 xml:space="preserve">Postupně se stává aktivní vyhledávání talentů prioritou více VŠ  a na tuto prioritu jsou dále alokovány finanční prostředky. </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 xml:space="preserve">Platí ovšem také: </w:t>
      </w:r>
      <w:proofErr w:type="gramStart"/>
      <w:r w:rsidRPr="00E13F63">
        <w:rPr>
          <w:rFonts w:ascii="Arial Narrow" w:hAnsi="Arial Narrow" w:cs="Times New Roman"/>
        </w:rPr>
        <w:t>„Očekáváme</w:t>
      </w:r>
      <w:proofErr w:type="gramEnd"/>
      <w:r w:rsidRPr="00E13F63">
        <w:rPr>
          <w:rFonts w:ascii="Arial Narrow" w:hAnsi="Arial Narrow" w:cs="Times New Roman"/>
        </w:rPr>
        <w:t xml:space="preserve">, že vysokou výběrovost bude možné zachovat navzdory slabým ročníkům, které dosáhnout 19 let do roku </w:t>
      </w:r>
      <w:proofErr w:type="gramStart"/>
      <w:r w:rsidRPr="00E13F63">
        <w:rPr>
          <w:rFonts w:ascii="Arial Narrow" w:hAnsi="Arial Narrow" w:cs="Times New Roman"/>
        </w:rPr>
        <w:t>2020.“</w:t>
      </w:r>
      <w:proofErr w:type="gramEnd"/>
      <w:r w:rsidRPr="00E13F63">
        <w:rPr>
          <w:rFonts w:ascii="Arial Narrow" w:hAnsi="Arial Narrow" w:cs="Times New Roman"/>
        </w:rPr>
        <w:t xml:space="preserve"> </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 xml:space="preserve">V uměleckých oborech (inspirace pro další obory – proč?): </w:t>
      </w:r>
      <w:r w:rsidRPr="00E13F63">
        <w:rPr>
          <w:rFonts w:ascii="Arial Narrow" w:hAnsi="Arial Narrow" w:cs="Times New Roman"/>
        </w:rPr>
        <w:t xml:space="preserve">„Kvalitní uchazeči jsou přitahováni mj. výraznými uměleckými osobnostmi, které na VŠ působí; těch je v současné době poměrně dost, je však obtížné předpovědět, jak se bude situace vyvíjet dál, a to zejména s ohledem na možnost jejich adekvátního finančního ohodnocení.“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Je vhodné se vyhledávání těch nejlepších talentů aktivně věnovat (platí pro technické a přírodovědné obory). Děje se poměrně málo na oborech, kde je příliv kvalitních uchazečů dostatečný. Je otázkou, zda jinde se neděje z důvodu nečinnosti nebo proto, že VŠ nemají personální kapacitu na tuto činnost. Tradiční inspirace pro OP VVV projekty.</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Uveďme rovněž typické priority týkající se uchazečů, všimněme si, že je explicitně uvedly jen čtyři VŠ, což je v období demografického poklesu překvapivé:</w:t>
      </w:r>
    </w:p>
    <w:p w:rsidR="003B39C0" w:rsidRDefault="003B39C0">
      <w:r>
        <w:br w:type="page"/>
      </w:r>
    </w:p>
    <w:tbl>
      <w:tblPr>
        <w:tblW w:w="5648" w:type="dxa"/>
        <w:tblInd w:w="70" w:type="dxa"/>
        <w:tblCellMar>
          <w:left w:w="70" w:type="dxa"/>
          <w:right w:w="70" w:type="dxa"/>
        </w:tblCellMar>
        <w:tblLook w:val="04A0" w:firstRow="1" w:lastRow="0" w:firstColumn="1" w:lastColumn="0" w:noHBand="0" w:noVBand="1"/>
      </w:tblPr>
      <w:tblGrid>
        <w:gridCol w:w="5648"/>
      </w:tblGrid>
      <w:tr w:rsidR="00B85C5E" w:rsidRPr="00E13F63" w:rsidTr="00DC28D6">
        <w:trPr>
          <w:trHeight w:val="300"/>
        </w:trPr>
        <w:tc>
          <w:tcPr>
            <w:tcW w:w="5648" w:type="dxa"/>
            <w:tcBorders>
              <w:top w:val="nil"/>
              <w:left w:val="nil"/>
              <w:bottom w:val="nil"/>
              <w:right w:val="nil"/>
            </w:tcBorders>
            <w:shd w:val="clear" w:color="auto" w:fill="auto"/>
            <w:noWrap/>
            <w:vAlign w:val="bottom"/>
            <w:hideMark/>
          </w:tcPr>
          <w:p w:rsidR="00B85C5E" w:rsidRPr="00E13F63" w:rsidRDefault="00B85C5E" w:rsidP="00DC28D6">
            <w:pPr>
              <w:spacing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UCHAZEČI</w:t>
            </w:r>
          </w:p>
        </w:tc>
      </w:tr>
      <w:tr w:rsidR="00B85C5E" w:rsidRPr="00E13F63" w:rsidTr="00DC28D6">
        <w:trPr>
          <w:trHeight w:val="300"/>
        </w:trPr>
        <w:tc>
          <w:tcPr>
            <w:tcW w:w="5648"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uchazečů</w:t>
            </w:r>
          </w:p>
        </w:tc>
      </w:tr>
      <w:tr w:rsidR="00B85C5E" w:rsidRPr="00E13F63" w:rsidTr="00DC28D6">
        <w:trPr>
          <w:trHeight w:val="300"/>
        </w:trPr>
        <w:tc>
          <w:tcPr>
            <w:tcW w:w="5648"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studentů / uchazečů</w:t>
            </w:r>
          </w:p>
        </w:tc>
      </w:tr>
      <w:tr w:rsidR="00B85C5E" w:rsidRPr="00E13F63" w:rsidTr="00DC28D6">
        <w:trPr>
          <w:trHeight w:val="300"/>
        </w:trPr>
        <w:tc>
          <w:tcPr>
            <w:tcW w:w="5648"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Stabilní zájem uchazečů o studium (marketing, PR)</w:t>
            </w:r>
          </w:p>
        </w:tc>
      </w:tr>
      <w:tr w:rsidR="00B85C5E" w:rsidRPr="00E13F63" w:rsidTr="00DC28D6">
        <w:trPr>
          <w:trHeight w:val="300"/>
        </w:trPr>
        <w:tc>
          <w:tcPr>
            <w:tcW w:w="5648"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studentů/uchazečů</w:t>
            </w:r>
          </w:p>
        </w:tc>
      </w:tr>
    </w:tbl>
    <w:p w:rsidR="00B85C5E" w:rsidRPr="00E13F63" w:rsidRDefault="00B85C5E" w:rsidP="00B85C5E">
      <w:pPr>
        <w:pStyle w:val="Default"/>
        <w:spacing w:before="120" w:line="360" w:lineRule="auto"/>
        <w:jc w:val="both"/>
        <w:rPr>
          <w:rFonts w:ascii="Arial Narrow" w:hAnsi="Arial Narrow" w:cs="Times New Roman"/>
        </w:rPr>
      </w:pPr>
    </w:p>
    <w:p w:rsidR="00B85C5E" w:rsidRPr="00E13F63" w:rsidRDefault="00B85C5E" w:rsidP="00B85C5E">
      <w:pPr>
        <w:pStyle w:val="Default"/>
        <w:spacing w:before="120" w:line="360" w:lineRule="auto"/>
        <w:jc w:val="both"/>
        <w:rPr>
          <w:rFonts w:ascii="Arial Narrow" w:hAnsi="Arial Narrow" w:cs="Times New Roman"/>
          <w:b/>
          <w:i/>
        </w:rPr>
      </w:pPr>
      <w:r w:rsidRPr="00E13F63">
        <w:rPr>
          <w:rFonts w:ascii="Arial Narrow" w:hAnsi="Arial Narrow" w:cs="Times New Roman"/>
          <w:b/>
        </w:rPr>
        <w:t xml:space="preserve">Komunikační strategie: </w:t>
      </w:r>
      <w:r w:rsidRPr="00E13F63">
        <w:rPr>
          <w:rFonts w:ascii="Arial Narrow" w:hAnsi="Arial Narrow" w:cs="Times New Roman"/>
        </w:rPr>
        <w:t xml:space="preserve">„Problémem by mohl být pokles prestiže oboru ve společnosti.“ </w:t>
      </w:r>
      <w:r w:rsidRPr="00E13F63">
        <w:rPr>
          <w:rFonts w:ascii="Arial Narrow" w:hAnsi="Arial Narrow" w:cs="Times New Roman"/>
          <w:i/>
        </w:rPr>
        <w:t xml:space="preserve">Uváděno k teoreticky a nekomerčně orientovaným oborům. Lze jednoznačně doporučit </w:t>
      </w:r>
      <w:r w:rsidRPr="00E13F63">
        <w:rPr>
          <w:rFonts w:ascii="Arial Narrow" w:hAnsi="Arial Narrow" w:cs="Times New Roman"/>
          <w:b/>
          <w:i/>
        </w:rPr>
        <w:t xml:space="preserve">VŠ </w:t>
      </w:r>
      <w:r w:rsidRPr="00E13F63">
        <w:rPr>
          <w:rFonts w:ascii="Arial Narrow" w:eastAsia="Times New Roman" w:hAnsi="Arial Narrow" w:cs="Times New Roman"/>
          <w:b/>
          <w:i/>
        </w:rPr>
        <w:t xml:space="preserve">Bod 9: </w:t>
      </w:r>
      <w:r w:rsidRPr="00E13F63">
        <w:rPr>
          <w:rFonts w:ascii="Arial Narrow" w:eastAsia="Times New Roman" w:hAnsi="Arial Narrow" w:cs="Times New Roman"/>
        </w:rPr>
        <w:t>Popularizovat u veřejnosti VŠ a jejich aktivity včetně samosprávnosti řízení.</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Priority spojené s marketingem jsou značně propojeny:</w:t>
      </w:r>
    </w:p>
    <w:tbl>
      <w:tblPr>
        <w:tblW w:w="9406" w:type="dxa"/>
        <w:tblInd w:w="70" w:type="dxa"/>
        <w:tblCellMar>
          <w:left w:w="70" w:type="dxa"/>
          <w:right w:w="70" w:type="dxa"/>
        </w:tblCellMar>
        <w:tblLook w:val="04A0" w:firstRow="1" w:lastRow="0" w:firstColumn="1" w:lastColumn="0" w:noHBand="0" w:noVBand="1"/>
      </w:tblPr>
      <w:tblGrid>
        <w:gridCol w:w="9406"/>
      </w:tblGrid>
      <w:tr w:rsidR="00B85C5E" w:rsidRPr="00E13F63" w:rsidTr="00DC28D6">
        <w:trPr>
          <w:trHeight w:val="300"/>
        </w:trPr>
        <w:tc>
          <w:tcPr>
            <w:tcW w:w="9406" w:type="dxa"/>
            <w:tcBorders>
              <w:top w:val="nil"/>
              <w:left w:val="nil"/>
              <w:bottom w:val="nil"/>
              <w:right w:val="nil"/>
            </w:tcBorders>
            <w:shd w:val="clear" w:color="auto" w:fill="auto"/>
            <w:noWrap/>
            <w:vAlign w:val="bottom"/>
            <w:hideMark/>
          </w:tcPr>
          <w:p w:rsidR="00B85C5E" w:rsidRPr="00E13F63" w:rsidRDefault="00B85C5E" w:rsidP="00DC28D6">
            <w:pPr>
              <w:spacing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VNĚJŠÍ</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Komunikační strategie</w:t>
            </w:r>
          </w:p>
        </w:tc>
      </w:tr>
      <w:tr w:rsidR="00B85C5E" w:rsidRPr="00E13F63" w:rsidTr="00DC28D6">
        <w:trPr>
          <w:trHeight w:val="300"/>
        </w:trPr>
        <w:tc>
          <w:tcPr>
            <w:tcW w:w="9406" w:type="dxa"/>
            <w:tcBorders>
              <w:top w:val="nil"/>
              <w:left w:val="nil"/>
              <w:bottom w:val="nil"/>
              <w:right w:val="nil"/>
            </w:tcBorders>
            <w:shd w:val="clear" w:color="000000" w:fill="8DB4E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 a spolupráce s ostatními subjekty</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Tradice a kvalita školy, sponzorství</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Zapojení VŠ do </w:t>
            </w:r>
            <w:proofErr w:type="spellStart"/>
            <w:r w:rsidRPr="00E13F63">
              <w:rPr>
                <w:rFonts w:ascii="Arial Narrow" w:eastAsia="Times New Roman" w:hAnsi="Arial Narrow" w:cs="Times New Roman"/>
                <w:b/>
                <w:bCs/>
                <w:color w:val="000000"/>
              </w:rPr>
              <w:t>reg</w:t>
            </w:r>
            <w:proofErr w:type="spellEnd"/>
            <w:r w:rsidRPr="00E13F63">
              <w:rPr>
                <w:rFonts w:ascii="Arial Narrow" w:eastAsia="Times New Roman" w:hAnsi="Arial Narrow" w:cs="Times New Roman"/>
                <w:b/>
                <w:bCs/>
                <w:color w:val="000000"/>
              </w:rPr>
              <w:t xml:space="preserve">. </w:t>
            </w:r>
            <w:proofErr w:type="spellStart"/>
            <w:r w:rsidRPr="00E13F63">
              <w:rPr>
                <w:rFonts w:ascii="Arial Narrow" w:eastAsia="Times New Roman" w:hAnsi="Arial Narrow" w:cs="Times New Roman"/>
                <w:b/>
                <w:bCs/>
                <w:color w:val="000000"/>
              </w:rPr>
              <w:t>rozv</w:t>
            </w:r>
            <w:proofErr w:type="spellEnd"/>
            <w:r w:rsidRPr="00E13F63">
              <w:rPr>
                <w:rFonts w:ascii="Arial Narrow" w:eastAsia="Times New Roman" w:hAnsi="Arial Narrow" w:cs="Times New Roman"/>
                <w:b/>
                <w:bCs/>
                <w:color w:val="000000"/>
              </w:rPr>
              <w:t>., komunikace s regionem</w:t>
            </w:r>
          </w:p>
        </w:tc>
      </w:tr>
      <w:tr w:rsidR="00B85C5E" w:rsidRPr="00E13F63" w:rsidTr="00DC28D6">
        <w:trPr>
          <w:trHeight w:val="300"/>
        </w:trPr>
        <w:tc>
          <w:tcPr>
            <w:tcW w:w="9406" w:type="dxa"/>
            <w:tcBorders>
              <w:top w:val="nil"/>
              <w:left w:val="nil"/>
              <w:bottom w:val="nil"/>
              <w:right w:val="nil"/>
            </w:tcBorders>
            <w:shd w:val="clear" w:color="000000" w:fill="D7E4BC"/>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účelovými zařízeními</w:t>
            </w:r>
          </w:p>
        </w:tc>
      </w:tr>
      <w:tr w:rsidR="00B85C5E" w:rsidRPr="00E13F63" w:rsidTr="00DC28D6">
        <w:trPr>
          <w:trHeight w:val="300"/>
        </w:trPr>
        <w:tc>
          <w:tcPr>
            <w:tcW w:w="9406" w:type="dxa"/>
            <w:tcBorders>
              <w:top w:val="nil"/>
              <w:left w:val="nil"/>
              <w:bottom w:val="nil"/>
              <w:right w:val="nil"/>
            </w:tcBorders>
            <w:shd w:val="clear" w:color="000000" w:fill="F2DDDC"/>
            <w:noWrap/>
            <w:vAlign w:val="center"/>
            <w:hideMark/>
          </w:tcPr>
          <w:p w:rsidR="00B85C5E" w:rsidRPr="00E13F63" w:rsidRDefault="00B85C5E" w:rsidP="00DC28D6">
            <w:pPr>
              <w:spacing w:after="0" w:line="240" w:lineRule="auto"/>
              <w:rPr>
                <w:rFonts w:ascii="Arial Narrow" w:eastAsia="Times New Roman" w:hAnsi="Arial Narrow" w:cs="Arial"/>
                <w:b/>
                <w:bCs/>
              </w:rPr>
            </w:pPr>
            <w:r w:rsidRPr="00E13F63">
              <w:rPr>
                <w:rFonts w:ascii="Arial Narrow" w:eastAsia="Times New Roman" w:hAnsi="Arial Narrow" w:cs="Arial"/>
                <w:b/>
                <w:bCs/>
              </w:rPr>
              <w:t>Upevnění třetí role univerzity</w:t>
            </w:r>
          </w:p>
        </w:tc>
      </w:tr>
      <w:tr w:rsidR="00B85C5E" w:rsidRPr="00E13F63" w:rsidTr="00DC28D6">
        <w:trPr>
          <w:trHeight w:val="300"/>
        </w:trPr>
        <w:tc>
          <w:tcPr>
            <w:tcW w:w="9406" w:type="dxa"/>
            <w:tcBorders>
              <w:top w:val="nil"/>
              <w:left w:val="nil"/>
              <w:bottom w:val="nil"/>
              <w:right w:val="nil"/>
            </w:tcBorders>
            <w:shd w:val="clear" w:color="000000" w:fill="DBEEF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služeb školy</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Interní a externí komunikace</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Prezentace výsledků vzdělávací a výzkumné činnosti</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2020 - PR školy</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2030 - Společenská objednávka studia</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2020 - Ostatní (třetí role VŠ ve společnosti, služby pro společnost)</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2030 - Rozvoj služeb školy</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Třetí role univerzity (dobré postavení a prezentace univerzity v oblasti výzkumu a smluvní spolupráce v regionu, dostatečně rozvinutá spolupráce s ostatními subjekty, využití potenciálu komercializace, CTBT, spolupráce s technologickým centrem města a firmami v národní a nadnárodní úrovni) </w:t>
            </w:r>
          </w:p>
        </w:tc>
      </w:tr>
      <w:tr w:rsidR="00B85C5E" w:rsidRPr="00E13F63" w:rsidTr="00DC28D6">
        <w:trPr>
          <w:trHeight w:val="300"/>
        </w:trPr>
        <w:tc>
          <w:tcPr>
            <w:tcW w:w="9406" w:type="dxa"/>
            <w:tcBorders>
              <w:top w:val="nil"/>
              <w:left w:val="nil"/>
              <w:bottom w:val="nil"/>
              <w:right w:val="nil"/>
            </w:tcBorders>
            <w:shd w:val="clear" w:color="000000" w:fill="00CC99"/>
            <w:noWrap/>
            <w:vAlign w:val="bottom"/>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Inovace forem a obsahu propagace a marketingu</w:t>
            </w:r>
          </w:p>
        </w:tc>
      </w:tr>
      <w:tr w:rsidR="00B85C5E" w:rsidRPr="00E13F63" w:rsidTr="00DC28D6">
        <w:trPr>
          <w:trHeight w:val="300"/>
        </w:trPr>
        <w:tc>
          <w:tcPr>
            <w:tcW w:w="9406" w:type="dxa"/>
            <w:tcBorders>
              <w:top w:val="nil"/>
              <w:left w:val="nil"/>
              <w:bottom w:val="nil"/>
              <w:right w:val="nil"/>
            </w:tcBorders>
            <w:shd w:val="clear" w:color="000000" w:fill="00CC99"/>
            <w:noWrap/>
            <w:vAlign w:val="bottom"/>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Plnění úkolů v rámci bezpečnostního systému státu (BSS)</w:t>
            </w:r>
          </w:p>
        </w:tc>
      </w:tr>
      <w:tr w:rsidR="00B85C5E" w:rsidRPr="00E13F63" w:rsidTr="00DC28D6">
        <w:trPr>
          <w:trHeight w:val="300"/>
        </w:trPr>
        <w:tc>
          <w:tcPr>
            <w:tcW w:w="9406" w:type="dxa"/>
            <w:tcBorders>
              <w:top w:val="nil"/>
              <w:left w:val="nil"/>
              <w:bottom w:val="nil"/>
              <w:right w:val="nil"/>
            </w:tcBorders>
            <w:shd w:val="clear" w:color="000000" w:fill="00CC99"/>
            <w:noWrap/>
            <w:vAlign w:val="bottom"/>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Služba státní správě a samosprávě (SSSS)</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Jednotná strategie a jednotný vizuální styl PR</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Marketingová komunikace se zaměřením na uchazeče a zaměstnavatele</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PR - Marketingová komunikace s </w:t>
            </w:r>
            <w:proofErr w:type="gramStart"/>
            <w:r w:rsidRPr="00E13F63">
              <w:rPr>
                <w:rFonts w:ascii="Arial Narrow" w:eastAsia="Times New Roman" w:hAnsi="Arial Narrow" w:cs="Times New Roman"/>
                <w:b/>
                <w:bCs/>
                <w:color w:val="000000"/>
              </w:rPr>
              <w:t>veřejností                                2030</w:t>
            </w:r>
            <w:proofErr w:type="gramEnd"/>
            <w:r w:rsidRPr="00E13F63">
              <w:rPr>
                <w:rFonts w:ascii="Arial Narrow" w:eastAsia="Times New Roman" w:hAnsi="Arial Narrow" w:cs="Times New Roman"/>
                <w:b/>
                <w:bCs/>
                <w:color w:val="000000"/>
              </w:rPr>
              <w:t>: PR - Komplexní systém marketingové komunikace s veřejností</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značky (PR a marketing)</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Zapojení VŠ do regionálního rozvoje, komunikace s regionem</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Zvyšování otevřenosti instituce</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Optimalizace interních a externích oblastí komunikace</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Komunikace, spolupráce s dalšími cílovými skupinami (absolventi, uchazeči, veřejné instituce…)</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Tradice a kvalita školy, sponzorství</w:t>
            </w:r>
          </w:p>
        </w:tc>
      </w:tr>
      <w:tr w:rsidR="00B85C5E" w:rsidRPr="00E13F63" w:rsidTr="00DC28D6">
        <w:trPr>
          <w:trHeight w:val="300"/>
        </w:trPr>
        <w:tc>
          <w:tcPr>
            <w:tcW w:w="9406" w:type="dxa"/>
            <w:tcBorders>
              <w:top w:val="nil"/>
              <w:left w:val="nil"/>
              <w:bottom w:val="nil"/>
              <w:right w:val="nil"/>
            </w:tcBorders>
            <w:shd w:val="clear" w:color="000000" w:fill="FF0000"/>
            <w:noWrap/>
            <w:vAlign w:val="bottom"/>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Zapojení do aktivit společenství TRITIA</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služeb školy (CŽV)</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Tradice a dobré jméno školy</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Prezentace uměleckých a výzkumných výstupů v ČR a zahraničí</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Komunikace výsledků vzdělávací činnosti a PR</w:t>
            </w:r>
          </w:p>
        </w:tc>
      </w:tr>
      <w:tr w:rsidR="00B85C5E" w:rsidRPr="00E13F63" w:rsidTr="00DC28D6">
        <w:trPr>
          <w:trHeight w:val="300"/>
        </w:trPr>
        <w:tc>
          <w:tcPr>
            <w:tcW w:w="9406" w:type="dxa"/>
            <w:tcBorders>
              <w:top w:val="single" w:sz="4" w:space="0" w:color="000000"/>
              <w:left w:val="single" w:sz="4" w:space="0" w:color="000000"/>
              <w:bottom w:val="nil"/>
              <w:right w:val="single" w:sz="4" w:space="0" w:color="000000"/>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Marketingová komunikace se zaměřením na uchazeče a zaměstnavatele</w:t>
            </w:r>
          </w:p>
        </w:tc>
      </w:tr>
      <w:tr w:rsidR="00B85C5E" w:rsidRPr="00E13F63" w:rsidTr="00DC28D6">
        <w:trPr>
          <w:trHeight w:val="300"/>
        </w:trPr>
        <w:tc>
          <w:tcPr>
            <w:tcW w:w="9406" w:type="dxa"/>
            <w:tcBorders>
              <w:top w:val="single" w:sz="4" w:space="0" w:color="000000"/>
              <w:left w:val="single" w:sz="4" w:space="0" w:color="000000"/>
              <w:bottom w:val="nil"/>
              <w:right w:val="single" w:sz="4" w:space="0" w:color="000000"/>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PR - Marketingová komunikace s </w:t>
            </w:r>
            <w:proofErr w:type="gramStart"/>
            <w:r w:rsidRPr="00E13F63">
              <w:rPr>
                <w:rFonts w:ascii="Arial Narrow" w:eastAsia="Times New Roman" w:hAnsi="Arial Narrow" w:cs="Times New Roman"/>
                <w:b/>
                <w:bCs/>
                <w:color w:val="000000"/>
              </w:rPr>
              <w:t>veřejností                                2030</w:t>
            </w:r>
            <w:proofErr w:type="gramEnd"/>
            <w:r w:rsidRPr="00E13F63">
              <w:rPr>
                <w:rFonts w:ascii="Arial Narrow" w:eastAsia="Times New Roman" w:hAnsi="Arial Narrow" w:cs="Times New Roman"/>
                <w:b/>
                <w:bCs/>
                <w:color w:val="000000"/>
              </w:rPr>
              <w:t>: PR - Komplexní systém marketingové komunikace s veřejností</w:t>
            </w:r>
          </w:p>
        </w:tc>
      </w:tr>
    </w:tbl>
    <w:p w:rsidR="00B85C5E" w:rsidRPr="00E13F63" w:rsidRDefault="00B85C5E" w:rsidP="00B85C5E">
      <w:pPr>
        <w:pStyle w:val="Default"/>
        <w:spacing w:before="120" w:line="360" w:lineRule="auto"/>
        <w:jc w:val="both"/>
        <w:rPr>
          <w:rFonts w:ascii="Arial Narrow" w:hAnsi="Arial Narrow" w:cs="Times New Roman"/>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hAnsi="Arial Narrow" w:cs="Times New Roman"/>
          <w:b/>
          <w:sz w:val="24"/>
          <w:szCs w:val="24"/>
        </w:rPr>
        <w:t xml:space="preserve">Uplatnění absolventů a spolupráce s profesní sférou: </w:t>
      </w:r>
      <w:r w:rsidRPr="00E13F63">
        <w:rPr>
          <w:rFonts w:ascii="Arial Narrow" w:hAnsi="Arial Narrow" w:cs="Times New Roman"/>
          <w:i/>
          <w:sz w:val="24"/>
          <w:szCs w:val="24"/>
        </w:rPr>
        <w:t xml:space="preserve">Rozdíly lze najít ve vyjadřování k poptávce po absolventech. Je většinou opatrné u oborů, které bývají citovány jako ty, které produkují absolventy, kteří neuplatňují svoji specializaci a u kterých někdy veřejnost a média (a představitelé ostatních oborů) vyžadují zavedení směrných čísel. Zde samozřejmě chybí hlas VŠ, které úkol č. 6 nezpracovaly. Jedná se o obvykle velmi ofenzívně reagující velké VŠ, a proto je  vyhodnocení úkolu č. 6 zákonitě zkreslené. Naopak sebevědomě vyznívají vyjádření k problematice absolventů u řady VŠ s obory uplatňujícími absolventy v oboru díky existující poptávce (technické a ekonomické), případně s reálnou šancí na uplatnění absolventů v zahraničí (přírodovědné a lékařské obory), viz </w:t>
      </w:r>
      <w:r w:rsidRPr="00E13F63">
        <w:rPr>
          <w:rFonts w:ascii="Arial Narrow" w:hAnsi="Arial Narrow" w:cs="Times New Roman"/>
          <w:b/>
          <w:i/>
          <w:sz w:val="24"/>
          <w:szCs w:val="24"/>
        </w:rPr>
        <w:t xml:space="preserve">MŠMT </w:t>
      </w:r>
      <w:r w:rsidRPr="00E13F63">
        <w:rPr>
          <w:rFonts w:ascii="Arial Narrow" w:eastAsia="Times New Roman" w:hAnsi="Arial Narrow" w:cs="Times New Roman"/>
          <w:b/>
          <w:i/>
          <w:sz w:val="24"/>
          <w:szCs w:val="24"/>
        </w:rPr>
        <w:t>Bod 5:</w:t>
      </w:r>
      <w:r w:rsidRPr="00E13F63">
        <w:rPr>
          <w:rFonts w:ascii="Arial Narrow" w:eastAsia="Times New Roman" w:hAnsi="Arial Narrow" w:cs="Times New Roman"/>
          <w:b/>
          <w:sz w:val="24"/>
          <w:szCs w:val="24"/>
        </w:rPr>
        <w:t xml:space="preserve"> </w:t>
      </w:r>
      <w:r w:rsidRPr="00E13F63">
        <w:rPr>
          <w:rFonts w:ascii="Arial Narrow" w:eastAsia="Times New Roman" w:hAnsi="Arial Narrow" w:cs="Times New Roman"/>
          <w:sz w:val="24"/>
          <w:szCs w:val="24"/>
        </w:rPr>
        <w:t xml:space="preserve">Soustředění na všeobecně akceptovatelné výstupy – kvalitu absolventů, </w:t>
      </w:r>
      <w:r w:rsidRPr="00E13F63">
        <w:rPr>
          <w:rFonts w:ascii="Arial Narrow" w:eastAsia="Times New Roman" w:hAnsi="Arial Narrow" w:cs="Times New Roman"/>
          <w:i/>
          <w:sz w:val="24"/>
          <w:szCs w:val="24"/>
        </w:rPr>
        <w:t xml:space="preserve">a také pro </w:t>
      </w:r>
      <w:r w:rsidRPr="00E13F63">
        <w:rPr>
          <w:rFonts w:ascii="Arial Narrow" w:eastAsia="Times New Roman" w:hAnsi="Arial Narrow" w:cs="Times New Roman"/>
          <w:b/>
          <w:i/>
          <w:sz w:val="24"/>
          <w:szCs w:val="24"/>
        </w:rPr>
        <w:t xml:space="preserve">VŠ Bod 5: </w:t>
      </w:r>
      <w:r w:rsidRPr="00E13F63">
        <w:rPr>
          <w:rFonts w:ascii="Arial Narrow" w:eastAsia="Times New Roman" w:hAnsi="Arial Narrow" w:cs="Times New Roman"/>
          <w:sz w:val="24"/>
          <w:szCs w:val="24"/>
        </w:rPr>
        <w:t>Věnovat se zásadním oblastem a výstupům – kvalita absolventů.</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Priority věnované absolventům a praxi jsou uvedeny výčtem:</w:t>
      </w:r>
    </w:p>
    <w:tbl>
      <w:tblPr>
        <w:tblW w:w="9406" w:type="dxa"/>
        <w:tblInd w:w="70" w:type="dxa"/>
        <w:tblCellMar>
          <w:left w:w="70" w:type="dxa"/>
          <w:right w:w="70" w:type="dxa"/>
        </w:tblCellMar>
        <w:tblLook w:val="04A0" w:firstRow="1" w:lastRow="0" w:firstColumn="1" w:lastColumn="0" w:noHBand="0" w:noVBand="1"/>
      </w:tblPr>
      <w:tblGrid>
        <w:gridCol w:w="9406"/>
      </w:tblGrid>
      <w:tr w:rsidR="00B85C5E" w:rsidRPr="00E13F63" w:rsidTr="00DC28D6">
        <w:trPr>
          <w:trHeight w:val="300"/>
        </w:trPr>
        <w:tc>
          <w:tcPr>
            <w:tcW w:w="9406" w:type="dxa"/>
            <w:tcBorders>
              <w:top w:val="nil"/>
              <w:left w:val="nil"/>
              <w:bottom w:val="nil"/>
              <w:right w:val="nil"/>
            </w:tcBorders>
            <w:shd w:val="clear" w:color="auto" w:fill="auto"/>
            <w:noWrap/>
            <w:vAlign w:val="bottom"/>
            <w:hideMark/>
          </w:tcPr>
          <w:p w:rsidR="00B85C5E" w:rsidRPr="00E13F63" w:rsidRDefault="00B85C5E" w:rsidP="00DC28D6">
            <w:pPr>
              <w:spacing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PRAXE</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Uplatnění absolventů a spolupráce s profesní sférou</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Trendy rozvoje praxe (akceptace absolventů)</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Trendy rozvoje praxe</w:t>
            </w:r>
          </w:p>
        </w:tc>
      </w:tr>
      <w:tr w:rsidR="00B85C5E" w:rsidRPr="00E13F63" w:rsidTr="00DC28D6">
        <w:trPr>
          <w:trHeight w:val="300"/>
        </w:trPr>
        <w:tc>
          <w:tcPr>
            <w:tcW w:w="9406" w:type="dxa"/>
            <w:tcBorders>
              <w:top w:val="nil"/>
              <w:left w:val="nil"/>
              <w:bottom w:val="nil"/>
              <w:right w:val="nil"/>
            </w:tcBorders>
            <w:shd w:val="clear" w:color="000000" w:fill="D7E4BC"/>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Trendy rozvoje praxe (akceptace absolventů)</w:t>
            </w:r>
          </w:p>
        </w:tc>
      </w:tr>
      <w:tr w:rsidR="00B85C5E" w:rsidRPr="00E13F63" w:rsidTr="00DC28D6">
        <w:trPr>
          <w:trHeight w:val="300"/>
        </w:trPr>
        <w:tc>
          <w:tcPr>
            <w:tcW w:w="9406" w:type="dxa"/>
            <w:tcBorders>
              <w:top w:val="nil"/>
              <w:left w:val="nil"/>
              <w:bottom w:val="nil"/>
              <w:right w:val="nil"/>
            </w:tcBorders>
            <w:shd w:val="clear" w:color="000000" w:fill="DBEEF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Trendy rozvoje praxe (akceptace absolventů)</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výstupů studia - uplatnitelnost absolventů</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Trendy rozvoje praxe</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2020 - Provázanost s praxí </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Možnost těsnějšího provázání studijních oborů s odběratelskou sférou za účelem zkvalitňování studia, uplatnění absolventů v praxi a následná spolupráce s nimi jako zpětná vazba pro univerzitu </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Trendy rozvoje praxe (akceptace absolventů)</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Pružné reagování na celospolečenskou poptávku po nových studijních programech a vzdělávacích projektech</w:t>
            </w:r>
          </w:p>
        </w:tc>
      </w:tr>
      <w:tr w:rsidR="00B85C5E" w:rsidRPr="00E13F63" w:rsidTr="00DC28D6">
        <w:trPr>
          <w:trHeight w:val="300"/>
        </w:trPr>
        <w:tc>
          <w:tcPr>
            <w:tcW w:w="9406" w:type="dxa"/>
            <w:tcBorders>
              <w:top w:val="nil"/>
              <w:left w:val="nil"/>
              <w:bottom w:val="nil"/>
              <w:right w:val="nil"/>
            </w:tcBorders>
            <w:shd w:val="clear" w:color="000000" w:fill="00CC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Spolupráce se subjekty odběratelské sféry v oblasti vzdělávacích aktivit</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Práce s absolventy</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rPr>
            </w:pPr>
            <w:r w:rsidRPr="00E13F63">
              <w:rPr>
                <w:rFonts w:ascii="Arial Narrow" w:eastAsia="Times New Roman" w:hAnsi="Arial Narrow" w:cs="Times New Roman"/>
                <w:b/>
                <w:bCs/>
              </w:rPr>
              <w:t xml:space="preserve">Zvyšování uplatnitelnosti absolventů </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rPr>
            </w:pPr>
            <w:r w:rsidRPr="00E13F63">
              <w:rPr>
                <w:rFonts w:ascii="Arial Narrow" w:eastAsia="Times New Roman" w:hAnsi="Arial Narrow" w:cs="Times New Roman"/>
                <w:b/>
                <w:bCs/>
              </w:rPr>
              <w:t>Motivační sytém pro firmy s cílem zvýšit uplatnitelnost absolventů</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Kvalita absolventa </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Podmínky pro provádění veterinárně-hygienické a farmaceutické </w:t>
            </w:r>
            <w:proofErr w:type="gramStart"/>
            <w:r w:rsidRPr="00E13F63">
              <w:rPr>
                <w:rFonts w:ascii="Arial Narrow" w:eastAsia="Times New Roman" w:hAnsi="Arial Narrow" w:cs="Times New Roman"/>
                <w:b/>
                <w:bCs/>
                <w:color w:val="000000"/>
              </w:rPr>
              <w:t>činnosti  na</w:t>
            </w:r>
            <w:proofErr w:type="gramEnd"/>
            <w:r w:rsidRPr="00E13F63">
              <w:rPr>
                <w:rFonts w:ascii="Arial Narrow" w:eastAsia="Times New Roman" w:hAnsi="Arial Narrow" w:cs="Times New Roman"/>
                <w:b/>
                <w:bCs/>
                <w:color w:val="000000"/>
              </w:rPr>
              <w:t xml:space="preserve"> univerzitě</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Trendy rozvoje praxe (akceptace absolventů)</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Trendy rozvoje praxe</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Spojení s praxí</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sz w:val="20"/>
                <w:szCs w:val="20"/>
              </w:rPr>
            </w:pPr>
            <w:r w:rsidRPr="00E13F63">
              <w:rPr>
                <w:rFonts w:ascii="Arial Narrow" w:eastAsia="Times New Roman" w:hAnsi="Arial Narrow" w:cs="Times New Roman"/>
                <w:b/>
                <w:bCs/>
                <w:sz w:val="20"/>
                <w:szCs w:val="20"/>
              </w:rPr>
              <w:t>Trendy rozvoje praxe (uplatnitelnost absolventů)</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sz w:val="20"/>
                <w:szCs w:val="20"/>
              </w:rPr>
            </w:pPr>
            <w:r w:rsidRPr="00E13F63">
              <w:rPr>
                <w:rFonts w:ascii="Arial Narrow" w:eastAsia="Times New Roman" w:hAnsi="Arial Narrow" w:cs="Times New Roman"/>
                <w:b/>
                <w:bCs/>
                <w:sz w:val="20"/>
                <w:szCs w:val="20"/>
              </w:rPr>
              <w:t xml:space="preserve">Podpora inovací a transfer technologií </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Uplatnitelnost absolventů na trhu práce v národním i mezinárodním kontextu</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Spojení s praxí</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Akceptace absolventů praxí</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Spojení s praxí</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Zvýšení uplatnitelnosti absolventů a prohloubení spolupráce s partnery z praxe </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Spojení s praxí</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absolventů</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praxí - celoživotní vzdělávání, kurzy, semináře</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Trendy rozvoje praxe (akceptace absolventů, spolupráce s praxí, s externími subjekty)</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Zvýšení uplatnitelnosti absolventů</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Zapojení odborníků z praxe do výuky</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Zajištění udržitelnosti podnikatelského inkubátoru</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Prohloubení profilu absolventa vzhledem k podnikavosti</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Vybudovat centra profesních kompetencí jako podpora profesní výuky</w:t>
            </w:r>
          </w:p>
        </w:tc>
      </w:tr>
      <w:tr w:rsidR="00B85C5E" w:rsidRPr="00E13F63" w:rsidTr="00DC28D6">
        <w:trPr>
          <w:trHeight w:val="300"/>
        </w:trPr>
        <w:tc>
          <w:tcPr>
            <w:tcW w:w="9406" w:type="dxa"/>
            <w:tcBorders>
              <w:top w:val="nil"/>
              <w:left w:val="nil"/>
              <w:bottom w:val="nil"/>
              <w:right w:val="nil"/>
            </w:tcBorders>
            <w:shd w:val="clear" w:color="000000" w:fill="FF0000"/>
            <w:noWrap/>
            <w:vAlign w:val="bottom"/>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Vybudování Centra excelence podnikání  - ideový záměr a studie proveditelnosti</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Odborná spolupráce a připravenost studentů do praxe</w:t>
            </w:r>
          </w:p>
        </w:tc>
      </w:tr>
      <w:tr w:rsidR="00B85C5E" w:rsidRPr="00E13F63" w:rsidTr="00DC28D6">
        <w:trPr>
          <w:trHeight w:val="300"/>
        </w:trPr>
        <w:tc>
          <w:tcPr>
            <w:tcW w:w="9406" w:type="dxa"/>
            <w:tcBorders>
              <w:top w:val="nil"/>
              <w:left w:val="nil"/>
              <w:bottom w:val="nil"/>
              <w:right w:val="nil"/>
            </w:tcBorders>
            <w:shd w:val="clear" w:color="000000" w:fill="538ED5"/>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Změna profilu absolventa - zvýšení uplatnitelnosti</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Uplatnitelnost absolventů na trhu práce</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Odborná spolupráce s tuzemskou aplikační sférou</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Trendy rozvoje praxe</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aplikační sférou</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Spolupráce s veřejností a absolventy</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Vazba na trendy praxe</w:t>
            </w:r>
          </w:p>
        </w:tc>
      </w:tr>
    </w:tbl>
    <w:p w:rsidR="00B85C5E" w:rsidRPr="00E13F63" w:rsidRDefault="00B85C5E" w:rsidP="00B85C5E">
      <w:pPr>
        <w:pStyle w:val="Default"/>
        <w:spacing w:before="120" w:line="360" w:lineRule="auto"/>
        <w:jc w:val="both"/>
        <w:rPr>
          <w:rFonts w:ascii="Arial Narrow" w:hAnsi="Arial Narrow" w:cs="Times New Roman"/>
          <w:i/>
        </w:rPr>
      </w:pP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Vnitřní akreditace a kvalita:</w:t>
      </w:r>
      <w:r w:rsidRPr="00E13F63">
        <w:rPr>
          <w:rFonts w:ascii="Arial Narrow" w:hAnsi="Arial Narrow" w:cs="Times New Roman"/>
        </w:rPr>
        <w:t xml:space="preserve"> </w:t>
      </w:r>
      <w:r w:rsidRPr="00E13F63">
        <w:rPr>
          <w:rFonts w:ascii="Arial Narrow" w:hAnsi="Arial Narrow" w:cs="Times New Roman"/>
          <w:i/>
        </w:rPr>
        <w:t>explicitní požadavky na vnější zdroje. Nebezpečí byrokracie opakovaně konstatováno zde i obecně.</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lastRenderedPageBreak/>
        <w:t xml:space="preserve">Propojení výuky a tvůrčí činnosti: </w:t>
      </w:r>
      <w:r w:rsidRPr="00E13F63">
        <w:rPr>
          <w:rFonts w:ascii="Arial Narrow" w:hAnsi="Arial Narrow" w:cs="Times New Roman"/>
        </w:rPr>
        <w:t xml:space="preserve">„V akademické složce zaměstnanců převažují aktivní osobnosti, které zaručují perspektivní vedení tvůrčí činnosti.“ </w:t>
      </w:r>
      <w:r w:rsidRPr="00E13F63">
        <w:rPr>
          <w:rFonts w:ascii="Arial Narrow" w:hAnsi="Arial Narrow" w:cs="Times New Roman"/>
          <w:i/>
        </w:rPr>
        <w:t xml:space="preserve">Bližší charakterizace slova „aktivní“ by byla vhodná. Jedná se o problematiku perspektivní, viz </w:t>
      </w:r>
      <w:r w:rsidRPr="00E13F63">
        <w:rPr>
          <w:rFonts w:ascii="Arial Narrow" w:hAnsi="Arial Narrow" w:cs="Times New Roman"/>
          <w:b/>
          <w:i/>
        </w:rPr>
        <w:t xml:space="preserve">MŠMT </w:t>
      </w:r>
      <w:r w:rsidRPr="00E13F63">
        <w:rPr>
          <w:rFonts w:ascii="Arial Narrow" w:eastAsia="Times New Roman" w:hAnsi="Arial Narrow" w:cs="Times New Roman"/>
          <w:b/>
          <w:i/>
        </w:rPr>
        <w:t>Bod 8:</w:t>
      </w:r>
      <w:r w:rsidRPr="00E13F63">
        <w:rPr>
          <w:rFonts w:ascii="Arial Narrow" w:eastAsia="Times New Roman" w:hAnsi="Arial Narrow" w:cs="Times New Roman"/>
          <w:b/>
        </w:rPr>
        <w:t xml:space="preserve"> </w:t>
      </w:r>
      <w:r w:rsidRPr="00E13F63">
        <w:rPr>
          <w:rFonts w:ascii="Arial Narrow" w:eastAsia="Times New Roman" w:hAnsi="Arial Narrow" w:cs="Times New Roman"/>
        </w:rPr>
        <w:t xml:space="preserve">Podporovat robustnost systému prostřednictvím synergie aktivit VŠ. </w:t>
      </w:r>
      <w:r w:rsidRPr="00E13F63">
        <w:rPr>
          <w:rFonts w:ascii="Arial Narrow" w:hAnsi="Arial Narrow" w:cs="Times New Roman"/>
          <w:i/>
        </w:rPr>
        <w:t>Priority týkající se rozvoje, zejména propojování oborů a interakcí výuky a tvůrčí činnosti je uvedena anonymně následujícím výčtem:</w:t>
      </w:r>
    </w:p>
    <w:tbl>
      <w:tblPr>
        <w:tblW w:w="9406" w:type="dxa"/>
        <w:tblInd w:w="70" w:type="dxa"/>
        <w:tblCellMar>
          <w:left w:w="70" w:type="dxa"/>
          <w:right w:w="70" w:type="dxa"/>
        </w:tblCellMar>
        <w:tblLook w:val="04A0" w:firstRow="1" w:lastRow="0" w:firstColumn="1" w:lastColumn="0" w:noHBand="0" w:noVBand="1"/>
      </w:tblPr>
      <w:tblGrid>
        <w:gridCol w:w="9406"/>
      </w:tblGrid>
      <w:tr w:rsidR="00B85C5E" w:rsidRPr="00E13F63" w:rsidTr="00DC28D6">
        <w:trPr>
          <w:trHeight w:val="300"/>
        </w:trPr>
        <w:tc>
          <w:tcPr>
            <w:tcW w:w="9406" w:type="dxa"/>
            <w:tcBorders>
              <w:top w:val="nil"/>
              <w:left w:val="nil"/>
              <w:bottom w:val="nil"/>
              <w:right w:val="nil"/>
            </w:tcBorders>
            <w:shd w:val="clear" w:color="auto" w:fill="auto"/>
            <w:noWrap/>
            <w:vAlign w:val="bottom"/>
            <w:hideMark/>
          </w:tcPr>
          <w:p w:rsidR="00B85C5E" w:rsidRPr="00E13F63" w:rsidRDefault="00B85C5E" w:rsidP="00DC28D6">
            <w:pPr>
              <w:spacing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Propojení výuky, vědy a umění</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Otevřenost a spolupráce oborů uvnitř fakult i napříč fakultami</w:t>
            </w:r>
          </w:p>
        </w:tc>
      </w:tr>
      <w:tr w:rsidR="00B85C5E" w:rsidRPr="00E13F63" w:rsidTr="00DC28D6">
        <w:trPr>
          <w:trHeight w:val="300"/>
        </w:trPr>
        <w:tc>
          <w:tcPr>
            <w:tcW w:w="9406" w:type="dxa"/>
            <w:tcBorders>
              <w:top w:val="nil"/>
              <w:left w:val="nil"/>
              <w:bottom w:val="nil"/>
              <w:right w:val="nil"/>
            </w:tcBorders>
            <w:shd w:val="clear" w:color="000000" w:fill="8DB4E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aktivit nad rámec formálního vzdělávání</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Provázanost oborů</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Provázanost oboru</w:t>
            </w:r>
          </w:p>
        </w:tc>
      </w:tr>
      <w:tr w:rsidR="00B85C5E" w:rsidRPr="00E13F63" w:rsidTr="00DC28D6">
        <w:trPr>
          <w:trHeight w:val="300"/>
        </w:trPr>
        <w:tc>
          <w:tcPr>
            <w:tcW w:w="9406" w:type="dxa"/>
            <w:tcBorders>
              <w:top w:val="nil"/>
              <w:left w:val="nil"/>
              <w:bottom w:val="nil"/>
              <w:right w:val="nil"/>
            </w:tcBorders>
            <w:shd w:val="clear" w:color="000000" w:fill="D7E4BC"/>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Provázanost oborů</w:t>
            </w:r>
          </w:p>
        </w:tc>
      </w:tr>
      <w:tr w:rsidR="00B85C5E" w:rsidRPr="00E13F63" w:rsidTr="00DC28D6">
        <w:trPr>
          <w:trHeight w:val="300"/>
        </w:trPr>
        <w:tc>
          <w:tcPr>
            <w:tcW w:w="9406" w:type="dxa"/>
            <w:tcBorders>
              <w:top w:val="nil"/>
              <w:left w:val="nil"/>
              <w:bottom w:val="nil"/>
              <w:right w:val="nil"/>
            </w:tcBorders>
            <w:shd w:val="clear" w:color="000000" w:fill="F2DDDC"/>
            <w:noWrap/>
            <w:vAlign w:val="center"/>
            <w:hideMark/>
          </w:tcPr>
          <w:p w:rsidR="00B85C5E" w:rsidRPr="00E13F63" w:rsidRDefault="00B85C5E" w:rsidP="00DC28D6">
            <w:pPr>
              <w:spacing w:after="0" w:line="240" w:lineRule="auto"/>
              <w:rPr>
                <w:rFonts w:ascii="Arial Narrow" w:eastAsia="Times New Roman" w:hAnsi="Arial Narrow" w:cs="Arial"/>
                <w:b/>
                <w:bCs/>
              </w:rPr>
            </w:pPr>
            <w:r w:rsidRPr="00E13F63">
              <w:rPr>
                <w:rFonts w:ascii="Arial Narrow" w:eastAsia="Times New Roman" w:hAnsi="Arial Narrow" w:cs="Arial"/>
                <w:b/>
                <w:bCs/>
              </w:rPr>
              <w:t>Provázání výzkumu se vzděláváním</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Získání akreditace pro alespoň jeden doktorský program a rigorózní řízení</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Vyšší míra zapojení studentů do vědecko-výzkumných aktivit</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Provázání výuky a vědecko-výzkumných projektů</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Propojení studia a VaV</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2020 - Propojení studia a VaV</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Struktura nabídky oborů: provázanost oborů (=prostupnost oborů), kombinovatelnost oborů; orientace na výzkumné obory; studijní programy v cizích jazycích, návaznost na Evropské standardy vzdělávání, distanční formy vzdělávání</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Rozvoj specifických pracovišť s veterinárně-hygienickým a farmaceutickým zaměřením </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Propojení studia a VaV</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sz w:val="20"/>
                <w:szCs w:val="20"/>
              </w:rPr>
            </w:pPr>
            <w:r w:rsidRPr="00E13F63">
              <w:rPr>
                <w:rFonts w:ascii="Arial Narrow" w:eastAsia="Times New Roman" w:hAnsi="Arial Narrow" w:cs="Times New Roman"/>
                <w:b/>
                <w:bCs/>
                <w:sz w:val="20"/>
                <w:szCs w:val="20"/>
              </w:rPr>
              <w:t>Provázanost oborů</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Propojení pedagogické a vědecko-výzkumné činnosti (oboustranné)</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Propojení studia a VaV</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Provázanost oborů</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oborů studia a jejich provázanost</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Propojení vzdělávací a výzkumné (tvůrčí) činnosti</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Rozvojový potenciál studia</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Provázanost oborů</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Výzkumná komponenta vzdělávání</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Provázanost oborů a prostupnost vzdělávání</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Zajištění provázanosti výuky a praxe</w:t>
            </w:r>
          </w:p>
        </w:tc>
      </w:tr>
      <w:tr w:rsidR="00B85C5E" w:rsidRPr="00E13F63" w:rsidTr="00DC28D6">
        <w:trPr>
          <w:trHeight w:val="300"/>
        </w:trPr>
        <w:tc>
          <w:tcPr>
            <w:tcW w:w="9406" w:type="dxa"/>
            <w:tcBorders>
              <w:top w:val="nil"/>
              <w:left w:val="nil"/>
              <w:bottom w:val="nil"/>
              <w:right w:val="nil"/>
            </w:tcBorders>
            <w:shd w:val="clear" w:color="000000" w:fill="FF0000"/>
            <w:noWrap/>
            <w:vAlign w:val="bottom"/>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Vybudování Podnikatelské univerzity - ideový záměr a studie proveditelnosti</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Provázanost předmětů a oborů</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Provázanost vzdělávací a vědecké činnosti</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Přednostní profilace školy do technických studijních oborů a programů</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Propojení studia a VaV</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Propojení studia a VaV</w:t>
            </w:r>
          </w:p>
        </w:tc>
      </w:tr>
    </w:tbl>
    <w:p w:rsidR="00B85C5E" w:rsidRPr="00E13F63" w:rsidRDefault="00B85C5E" w:rsidP="00B85C5E">
      <w:pPr>
        <w:pStyle w:val="Default"/>
        <w:spacing w:before="120" w:line="360" w:lineRule="auto"/>
        <w:jc w:val="both"/>
        <w:rPr>
          <w:rFonts w:ascii="Arial Narrow" w:hAnsi="Arial Narrow" w:cs="Times New Roman"/>
        </w:rPr>
      </w:pP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 xml:space="preserve">Propojování vědy, výuky a umění je často zmiňováno a zejména proklamováno. Některé VŠ se vyjadřují, že skutečnému propojování výuky a tvůrčí činnosti, které je náročné, je věnována bohužel poměrně malá pozornost, protože není doceňováno. Tento tradiční potenciál českých VŠ se jeví v současné době nevyužit, přednost mají kvantifikovatelné výsledky a úzká specializace. Lze doporučit diskutovat tato tvrzení na VŠ i na úrovni ČR a posoudit je. </w:t>
      </w:r>
    </w:p>
    <w:p w:rsidR="0080708A" w:rsidRPr="00E13F63" w:rsidRDefault="0080708A" w:rsidP="00B85C5E">
      <w:pPr>
        <w:spacing w:line="360" w:lineRule="auto"/>
        <w:jc w:val="both"/>
        <w:rPr>
          <w:rFonts w:ascii="Arial Narrow" w:hAnsi="Arial Narrow" w:cs="Times New Roman"/>
          <w:i/>
          <w:sz w:val="24"/>
          <w:szCs w:val="24"/>
        </w:rPr>
      </w:pP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Věnujme se odhadům vývoje počtu studentů:</w:t>
      </w:r>
    </w:p>
    <w:p w:rsidR="00B85C5E" w:rsidRPr="00E13F63" w:rsidRDefault="00B85C5E" w:rsidP="00B85C5E">
      <w:pPr>
        <w:pStyle w:val="Default"/>
        <w:spacing w:before="120" w:line="360" w:lineRule="auto"/>
        <w:jc w:val="center"/>
        <w:rPr>
          <w:rFonts w:ascii="Arial Narrow" w:hAnsi="Arial Narrow" w:cs="Times New Roman"/>
          <w:b/>
          <w:u w:val="single"/>
        </w:rPr>
      </w:pPr>
      <w:r w:rsidRPr="00E13F63">
        <w:rPr>
          <w:rFonts w:ascii="Arial Narrow" w:hAnsi="Arial Narrow" w:cs="Times New Roman"/>
          <w:b/>
          <w:noProof/>
          <w:u w:val="single"/>
        </w:rPr>
        <w:drawing>
          <wp:inline distT="0" distB="0" distL="0" distR="0">
            <wp:extent cx="4572000" cy="2743200"/>
            <wp:effectExtent l="19050" t="0" r="19050" b="0"/>
            <wp:docPr id="16" name="Graf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20: X-Y graf pro změny počtu studentů (5 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hAnsi="Arial Narrow" w:cs="Times New Roman"/>
          <w:i/>
          <w:sz w:val="24"/>
          <w:szCs w:val="24"/>
        </w:rPr>
        <w:t xml:space="preserve">Obrázek ukazuje očekávání (opět pomocí poměrné změny k současnosti = index) z hlediska vývoje počtu studentů. Opět je zde změna z roku 2014 vůči roku 2020 (osa x) a z roku 2014 k roku 2030 (osa y). Je zde vidět další změna vůči předchozím obrázkům – zatímco očekávání z hlediska vývoje počtu zaměstnanců jsou variabilnější, leč drží jistý trend a u financí se predikující drží konstantní predikce, zde u studentů je náznak </w:t>
      </w:r>
      <w:r w:rsidR="009E5C0E" w:rsidRPr="00E13F63">
        <w:rPr>
          <w:rFonts w:ascii="Arial Narrow" w:hAnsi="Arial Narrow" w:cs="Times New Roman"/>
          <w:i/>
          <w:sz w:val="24"/>
          <w:szCs w:val="24"/>
        </w:rPr>
        <w:t xml:space="preserve">optimistického </w:t>
      </w:r>
      <w:r w:rsidRPr="00E13F63">
        <w:rPr>
          <w:rFonts w:ascii="Arial Narrow" w:hAnsi="Arial Narrow" w:cs="Times New Roman"/>
          <w:i/>
          <w:sz w:val="24"/>
          <w:szCs w:val="24"/>
        </w:rPr>
        <w:t xml:space="preserve">nezohlednění demografických predikcí, které bývají považovány za spolehlivější než predikce počtu studentů. Jisté zlepšení lze pak pozorovat pro VVŠ viz obr. 20a, ovšem pro SVŠ je přítomna „optimistická variabilita“, přičemž u vysokých růstů dvou SVŠ vpravo nahoře nelze </w:t>
      </w:r>
      <w:r w:rsidRPr="00E13F63">
        <w:rPr>
          <w:rFonts w:ascii="Arial Narrow" w:hAnsi="Arial Narrow" w:cs="Times New Roman"/>
          <w:i/>
          <w:sz w:val="24"/>
          <w:szCs w:val="24"/>
        </w:rPr>
        <w:lastRenderedPageBreak/>
        <w:t xml:space="preserve">rozlišit, zda se jedná o chybu v zápisu údajů, uvedení absolutních počtů místo rozdílů nebo představa pětinásobného a desetinásobného růstu počtu studentů. Nabízí se pak doporučení pro </w:t>
      </w:r>
      <w:r w:rsidRPr="00E13F63">
        <w:rPr>
          <w:rFonts w:ascii="Arial Narrow" w:hAnsi="Arial Narrow" w:cs="Times New Roman"/>
          <w:b/>
          <w:i/>
          <w:sz w:val="24"/>
          <w:szCs w:val="24"/>
        </w:rPr>
        <w:t xml:space="preserve">VŠ </w:t>
      </w:r>
      <w:r w:rsidRPr="00E13F63">
        <w:rPr>
          <w:rFonts w:ascii="Arial Narrow" w:eastAsia="Times New Roman" w:hAnsi="Arial Narrow" w:cs="Times New Roman"/>
          <w:b/>
          <w:i/>
          <w:sz w:val="24"/>
          <w:szCs w:val="24"/>
        </w:rPr>
        <w:t>Bod 1:</w:t>
      </w:r>
      <w:r w:rsidRPr="00E13F63">
        <w:rPr>
          <w:rFonts w:ascii="Arial Narrow" w:eastAsia="Times New Roman" w:hAnsi="Arial Narrow" w:cs="Times New Roman"/>
          <w:b/>
          <w:sz w:val="24"/>
          <w:szCs w:val="24"/>
        </w:rPr>
        <w:t xml:space="preserve"> </w:t>
      </w:r>
      <w:r w:rsidRPr="00E13F63">
        <w:rPr>
          <w:rFonts w:ascii="Arial Narrow" w:eastAsia="Times New Roman" w:hAnsi="Arial Narrow" w:cs="Times New Roman"/>
          <w:sz w:val="24"/>
          <w:szCs w:val="24"/>
        </w:rPr>
        <w:t xml:space="preserve">Detailně poznávat vnější prostředí a reálně posuzovat možnosti, </w:t>
      </w:r>
      <w:r w:rsidRPr="00E13F63">
        <w:rPr>
          <w:rFonts w:ascii="Arial Narrow" w:eastAsia="Times New Roman" w:hAnsi="Arial Narrow" w:cs="Times New Roman"/>
          <w:i/>
          <w:sz w:val="24"/>
          <w:szCs w:val="24"/>
        </w:rPr>
        <w:t>a také</w:t>
      </w:r>
      <w:r w:rsidRPr="00E13F63">
        <w:rPr>
          <w:rFonts w:ascii="Arial Narrow" w:eastAsia="Times New Roman" w:hAnsi="Arial Narrow" w:cs="Times New Roman"/>
          <w:b/>
          <w:i/>
          <w:sz w:val="24"/>
          <w:szCs w:val="24"/>
        </w:rPr>
        <w:t xml:space="preserve"> VŠ Bod 4:</w:t>
      </w:r>
      <w:r w:rsidRPr="00E13F63">
        <w:rPr>
          <w:rFonts w:ascii="Arial Narrow" w:eastAsia="Times New Roman" w:hAnsi="Arial Narrow" w:cs="Times New Roman"/>
          <w:b/>
          <w:sz w:val="24"/>
          <w:szCs w:val="24"/>
        </w:rPr>
        <w:t xml:space="preserve"> </w:t>
      </w:r>
      <w:r w:rsidRPr="00E13F63">
        <w:rPr>
          <w:rFonts w:ascii="Arial Narrow" w:eastAsia="Times New Roman" w:hAnsi="Arial Narrow" w:cs="Times New Roman"/>
          <w:sz w:val="24"/>
          <w:szCs w:val="24"/>
        </w:rPr>
        <w:t>Prohlubovat věcné poznání VŠ zejména na základě ukazatelů a financí.</w:t>
      </w:r>
    </w:p>
    <w:p w:rsidR="00B85C5E" w:rsidRPr="00E13F63" w:rsidRDefault="00B85C5E" w:rsidP="00B85C5E">
      <w:pPr>
        <w:spacing w:line="360" w:lineRule="auto"/>
        <w:jc w:val="center"/>
        <w:rPr>
          <w:rFonts w:ascii="Arial Narrow" w:hAnsi="Arial Narrow" w:cs="Times New Roman"/>
          <w:sz w:val="24"/>
          <w:szCs w:val="24"/>
        </w:rPr>
      </w:pPr>
      <w:r w:rsidRPr="00E13F63">
        <w:rPr>
          <w:rFonts w:ascii="Arial Narrow" w:hAnsi="Arial Narrow" w:cs="Times New Roman"/>
          <w:noProof/>
          <w:sz w:val="24"/>
          <w:szCs w:val="24"/>
        </w:rPr>
        <w:drawing>
          <wp:inline distT="0" distB="0" distL="0" distR="0">
            <wp:extent cx="4572000" cy="2743200"/>
            <wp:effectExtent l="19050" t="0" r="19050" b="0"/>
            <wp:docPr id="38" name="Graf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20a: X-Y graf pro změny počtu studentů (VVŠ).</w: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drawing>
          <wp:inline distT="0" distB="0" distL="0" distR="0">
            <wp:extent cx="4572000" cy="2743200"/>
            <wp:effectExtent l="19050" t="0" r="19050" b="0"/>
            <wp:docPr id="31" name="Graf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20b: X-Y graf pro změny počtu studentů (VŠ).</w:t>
      </w:r>
    </w:p>
    <w:p w:rsidR="00B85C5E" w:rsidRPr="00E13F63" w:rsidRDefault="00B85C5E" w:rsidP="00B85C5E">
      <w:pPr>
        <w:pStyle w:val="Default"/>
        <w:spacing w:before="120" w:line="360" w:lineRule="auto"/>
        <w:jc w:val="both"/>
        <w:rPr>
          <w:rFonts w:ascii="Arial Narrow" w:hAnsi="Arial Narrow" w:cs="Times New Roman"/>
          <w:b/>
          <w:u w:val="single"/>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hAnsi="Arial Narrow" w:cs="Times New Roman"/>
          <w:b/>
          <w:sz w:val="24"/>
          <w:szCs w:val="24"/>
          <w:u w:val="single"/>
        </w:rPr>
        <w:lastRenderedPageBreak/>
        <w:t>Finance:</w:t>
      </w:r>
      <w:r w:rsidRPr="00E13F63">
        <w:rPr>
          <w:rFonts w:ascii="Arial Narrow" w:hAnsi="Arial Narrow" w:cs="Times New Roman"/>
          <w:b/>
          <w:sz w:val="24"/>
          <w:szCs w:val="24"/>
        </w:rPr>
        <w:t xml:space="preserve"> </w:t>
      </w:r>
      <w:r w:rsidRPr="00E13F63">
        <w:rPr>
          <w:rFonts w:ascii="Arial Narrow" w:hAnsi="Arial Narrow" w:cs="Times New Roman"/>
          <w:i/>
          <w:sz w:val="24"/>
          <w:szCs w:val="24"/>
        </w:rPr>
        <w:t xml:space="preserve">Nedostatečný podíl institucionálního podfinancování VŠ vůči projektovému představuje opakovaně konstatované (přímo i nepřímo) riziko dosažení cíle ve strategické prioritě. Vede k nadsazování zdrojů a zejména se zde promítají rozdílné přístupy VŠ k riziku, což se plně projevuje i díky výrazné heterogenitě zúčastněných vysokých škol. Je konstatováno opakovaně od specializovaných VŠ po velké univerzity. Explicitní vyznění je zřejmě zesíleno i neúčastí projektově velmi úspěšných VŠ. Proto je uveden v závěrech pro </w:t>
      </w:r>
      <w:r w:rsidRPr="00E13F63">
        <w:rPr>
          <w:rFonts w:ascii="Arial Narrow" w:hAnsi="Arial Narrow" w:cs="Times New Roman"/>
          <w:b/>
          <w:i/>
          <w:sz w:val="24"/>
          <w:szCs w:val="24"/>
        </w:rPr>
        <w:t>MŠMT</w:t>
      </w:r>
      <w:r w:rsidRPr="00E13F63">
        <w:rPr>
          <w:rFonts w:ascii="Arial Narrow" w:hAnsi="Arial Narrow" w:cs="Times New Roman"/>
          <w:i/>
          <w:sz w:val="24"/>
          <w:szCs w:val="24"/>
        </w:rPr>
        <w:t xml:space="preserve"> </w:t>
      </w:r>
      <w:r w:rsidRPr="00E13F63">
        <w:rPr>
          <w:rFonts w:ascii="Arial Narrow" w:eastAsia="Times New Roman" w:hAnsi="Arial Narrow" w:cs="Times New Roman"/>
          <w:b/>
          <w:i/>
          <w:sz w:val="24"/>
          <w:szCs w:val="24"/>
        </w:rPr>
        <w:t>Bod 1:</w:t>
      </w:r>
      <w:r w:rsidRPr="00E13F63">
        <w:rPr>
          <w:rFonts w:ascii="Arial Narrow" w:eastAsia="Times New Roman" w:hAnsi="Arial Narrow" w:cs="Times New Roman"/>
          <w:b/>
          <w:sz w:val="24"/>
          <w:szCs w:val="24"/>
        </w:rPr>
        <w:t xml:space="preserve"> </w:t>
      </w:r>
      <w:r w:rsidRPr="00E13F63">
        <w:rPr>
          <w:rFonts w:ascii="Arial Narrow" w:eastAsia="Times New Roman" w:hAnsi="Arial Narrow" w:cs="Times New Roman"/>
          <w:sz w:val="24"/>
          <w:szCs w:val="24"/>
        </w:rPr>
        <w:t>Podfinancování VŠ podlamuje konkurenceschopnost ČR.</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Priority týkající se financování mají vysokou četnost. Určující však je, že pokud se diskutují související zdroje, převládá automaticky projektový přístup k zajišťování výsledků.</w:t>
      </w:r>
    </w:p>
    <w:tbl>
      <w:tblPr>
        <w:tblW w:w="9406" w:type="dxa"/>
        <w:tblInd w:w="70" w:type="dxa"/>
        <w:tblCellMar>
          <w:left w:w="70" w:type="dxa"/>
          <w:right w:w="70" w:type="dxa"/>
        </w:tblCellMar>
        <w:tblLook w:val="04A0" w:firstRow="1" w:lastRow="0" w:firstColumn="1" w:lastColumn="0" w:noHBand="0" w:noVBand="1"/>
      </w:tblPr>
      <w:tblGrid>
        <w:gridCol w:w="9406"/>
      </w:tblGrid>
      <w:tr w:rsidR="00B85C5E" w:rsidRPr="00E13F63" w:rsidTr="00DC28D6">
        <w:trPr>
          <w:trHeight w:val="300"/>
        </w:trPr>
        <w:tc>
          <w:tcPr>
            <w:tcW w:w="9406" w:type="dxa"/>
            <w:tcBorders>
              <w:top w:val="nil"/>
              <w:left w:val="nil"/>
              <w:bottom w:val="nil"/>
              <w:right w:val="nil"/>
            </w:tcBorders>
            <w:shd w:val="clear" w:color="auto" w:fill="auto"/>
            <w:noWrap/>
            <w:vAlign w:val="bottom"/>
            <w:hideMark/>
          </w:tcPr>
          <w:p w:rsidR="00B85C5E" w:rsidRPr="00E13F63" w:rsidRDefault="00B85C5E" w:rsidP="00DC28D6">
            <w:pPr>
              <w:spacing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FINANCE</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 Zodpovědné hospodaření zaměřené na udržitelný rozvoj</w:t>
            </w:r>
          </w:p>
        </w:tc>
      </w:tr>
      <w:tr w:rsidR="00B85C5E" w:rsidRPr="00E13F63" w:rsidTr="00DC28D6">
        <w:trPr>
          <w:trHeight w:val="300"/>
        </w:trPr>
        <w:tc>
          <w:tcPr>
            <w:tcW w:w="9406" w:type="dxa"/>
            <w:tcBorders>
              <w:top w:val="nil"/>
              <w:left w:val="nil"/>
              <w:bottom w:val="nil"/>
              <w:right w:val="nil"/>
            </w:tcBorders>
            <w:shd w:val="clear" w:color="000000" w:fill="8DB4E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Kofinancování externími zdroji</w:t>
            </w:r>
          </w:p>
        </w:tc>
      </w:tr>
      <w:tr w:rsidR="00B85C5E" w:rsidRPr="00E13F63" w:rsidTr="00DC28D6">
        <w:trPr>
          <w:trHeight w:val="300"/>
        </w:trPr>
        <w:tc>
          <w:tcPr>
            <w:tcW w:w="9406" w:type="dxa"/>
            <w:tcBorders>
              <w:top w:val="nil"/>
              <w:left w:val="nil"/>
              <w:bottom w:val="nil"/>
              <w:right w:val="nil"/>
            </w:tcBorders>
            <w:shd w:val="clear" w:color="000000" w:fill="8DB4E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Materiální a technické zabezpečení školy</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Vícezdrojové financování</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Investiční rozvoj areálu</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studia</w:t>
            </w:r>
          </w:p>
        </w:tc>
      </w:tr>
      <w:tr w:rsidR="00B85C5E" w:rsidRPr="00E13F63" w:rsidTr="00DC28D6">
        <w:trPr>
          <w:trHeight w:val="300"/>
        </w:trPr>
        <w:tc>
          <w:tcPr>
            <w:tcW w:w="9406" w:type="dxa"/>
            <w:tcBorders>
              <w:top w:val="nil"/>
              <w:left w:val="nil"/>
              <w:bottom w:val="nil"/>
              <w:right w:val="nil"/>
            </w:tcBorders>
            <w:shd w:val="clear" w:color="000000" w:fill="D7E4BC"/>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činností univerzity</w:t>
            </w:r>
          </w:p>
        </w:tc>
      </w:tr>
      <w:tr w:rsidR="00B85C5E" w:rsidRPr="00E13F63" w:rsidTr="00DC28D6">
        <w:trPr>
          <w:trHeight w:val="300"/>
        </w:trPr>
        <w:tc>
          <w:tcPr>
            <w:tcW w:w="9406" w:type="dxa"/>
            <w:tcBorders>
              <w:top w:val="nil"/>
              <w:left w:val="nil"/>
              <w:bottom w:val="nil"/>
              <w:right w:val="nil"/>
            </w:tcBorders>
            <w:shd w:val="clear" w:color="000000" w:fill="F2DDDC"/>
            <w:noWrap/>
            <w:vAlign w:val="center"/>
            <w:hideMark/>
          </w:tcPr>
          <w:p w:rsidR="00B85C5E" w:rsidRPr="00E13F63" w:rsidRDefault="00B85C5E" w:rsidP="00DC28D6">
            <w:pPr>
              <w:spacing w:after="0" w:line="240" w:lineRule="auto"/>
              <w:rPr>
                <w:rFonts w:ascii="Arial Narrow" w:eastAsia="Times New Roman" w:hAnsi="Arial Narrow" w:cs="Arial"/>
                <w:b/>
                <w:bCs/>
                <w:sz w:val="20"/>
                <w:szCs w:val="20"/>
              </w:rPr>
            </w:pPr>
            <w:r w:rsidRPr="00E13F63">
              <w:rPr>
                <w:rFonts w:ascii="Arial Narrow" w:eastAsia="Times New Roman" w:hAnsi="Arial Narrow" w:cs="Arial"/>
                <w:b/>
                <w:bCs/>
                <w:sz w:val="20"/>
                <w:szCs w:val="20"/>
              </w:rPr>
              <w:t>Nastavení systému vícezdrojového financování</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studia</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prostorového a materiálního zázemí VŠ</w:t>
            </w:r>
          </w:p>
        </w:tc>
      </w:tr>
      <w:tr w:rsidR="00B85C5E" w:rsidRPr="00E13F63" w:rsidTr="00DC28D6">
        <w:trPr>
          <w:trHeight w:val="300"/>
        </w:trPr>
        <w:tc>
          <w:tcPr>
            <w:tcW w:w="9406" w:type="dxa"/>
            <w:tcBorders>
              <w:top w:val="nil"/>
              <w:left w:val="nil"/>
              <w:bottom w:val="nil"/>
              <w:right w:val="nil"/>
            </w:tcBorders>
            <w:shd w:val="clear" w:color="000000" w:fill="00CCFF"/>
            <w:noWrap/>
            <w:vAlign w:val="bottom"/>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prostorového a materiálního zázemí VŠ včetně inovací informačních technologií</w:t>
            </w:r>
          </w:p>
        </w:tc>
      </w:tr>
      <w:tr w:rsidR="00B85C5E" w:rsidRPr="00E13F63" w:rsidTr="00DC28D6">
        <w:trPr>
          <w:trHeight w:val="300"/>
        </w:trPr>
        <w:tc>
          <w:tcPr>
            <w:tcW w:w="9406" w:type="dxa"/>
            <w:tcBorders>
              <w:top w:val="nil"/>
              <w:left w:val="nil"/>
              <w:bottom w:val="nil"/>
              <w:right w:val="nil"/>
            </w:tcBorders>
            <w:shd w:val="clear" w:color="000000" w:fill="DBEEF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studia</w:t>
            </w:r>
          </w:p>
        </w:tc>
      </w:tr>
      <w:tr w:rsidR="00B85C5E" w:rsidRPr="00E13F63" w:rsidTr="00DC28D6">
        <w:trPr>
          <w:trHeight w:val="300"/>
        </w:trPr>
        <w:tc>
          <w:tcPr>
            <w:tcW w:w="9406" w:type="dxa"/>
            <w:tcBorders>
              <w:top w:val="nil"/>
              <w:left w:val="nil"/>
              <w:bottom w:val="nil"/>
              <w:right w:val="nil"/>
            </w:tcBorders>
            <w:shd w:val="clear" w:color="000000" w:fill="DBEEF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Efektivní využívání prostor (koordinace a vyhodnocování)</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Hospodaření s finančními zdroji</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Efektivní využívání infrastruktury</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školy</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2020 - Finanční zdroje a financování studia</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2030 - Model financování školy a jeho užití</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Rozvoj infrastruktury univerzity (využití zkušeností z minulých let, vytěžení projektové připravenosti a vyhrazeného pozemku; opravy a rekonstrukce historických budov v majetku univerzity) </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studia a financování instituce</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Infrastruktura, materiálně-technické a informační zabezpečení VŠ</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Komplementární finanční zdroje</w:t>
            </w:r>
          </w:p>
        </w:tc>
      </w:tr>
      <w:tr w:rsidR="00B85C5E" w:rsidRPr="00E13F63" w:rsidTr="00DC28D6">
        <w:trPr>
          <w:trHeight w:val="300"/>
        </w:trPr>
        <w:tc>
          <w:tcPr>
            <w:tcW w:w="9406" w:type="dxa"/>
            <w:tcBorders>
              <w:top w:val="nil"/>
              <w:left w:val="nil"/>
              <w:bottom w:val="nil"/>
              <w:right w:val="nil"/>
            </w:tcBorders>
            <w:shd w:val="clear" w:color="000000" w:fill="00CC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Vícezdrojové financování a komercionalizace výsledků činnosti UO </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Zajištění odpovídající materiální základny pro vzdělávání, VaV a tvůrčí aktivity</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a kvalita studia</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Financování k získávání a využívání zdrojů a Efektivita MTZ + Lidské zdroje+Struktura, inovace a kvalita </w:t>
            </w:r>
            <w:r w:rsidRPr="00E13F63">
              <w:rPr>
                <w:rFonts w:ascii="Arial Narrow" w:eastAsia="Times New Roman" w:hAnsi="Arial Narrow" w:cs="Times New Roman"/>
                <w:b/>
                <w:bCs/>
                <w:color w:val="000000"/>
              </w:rPr>
              <w:lastRenderedPageBreak/>
              <w:t>vzdělávacího procesu + Kvalita výstupů vzdělávání + Kvalita výsledků umělecké, výzkumné a další tvůrčí činnosti + Internacionalizace vzdělávací, výzkumné a umělecké činnosti + Zrovnoprávnění umělecké a ostatních tvůrčích činností</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 xml:space="preserve">Financování studia </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Zázemí/infrastruktura</w:t>
            </w:r>
          </w:p>
        </w:tc>
      </w:tr>
      <w:tr w:rsidR="00B85C5E" w:rsidRPr="00E13F63" w:rsidTr="00DC28D6">
        <w:trPr>
          <w:trHeight w:val="300"/>
        </w:trPr>
        <w:tc>
          <w:tcPr>
            <w:tcW w:w="9406" w:type="dxa"/>
            <w:tcBorders>
              <w:top w:val="nil"/>
              <w:left w:val="nil"/>
              <w:bottom w:val="nil"/>
              <w:right w:val="nil"/>
            </w:tcBorders>
            <w:shd w:val="clear" w:color="000000" w:fill="66FF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studia</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sz w:val="20"/>
                <w:szCs w:val="20"/>
              </w:rPr>
            </w:pPr>
            <w:r w:rsidRPr="00E13F63">
              <w:rPr>
                <w:rFonts w:ascii="Arial Narrow" w:eastAsia="Times New Roman" w:hAnsi="Arial Narrow" w:cs="Times New Roman"/>
                <w:b/>
                <w:bCs/>
                <w:sz w:val="20"/>
                <w:szCs w:val="20"/>
              </w:rPr>
              <w:t>Financování studia a univerzity</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Infrastruktura</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studia</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Ekonomická stabilita školy</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Zajištění dalších finančních zdrojů mimo státní rozpočet </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a obnova infrastruktury školy</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Efektivní využívání prostor</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Zdravé hospodaření</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vysoké školy - společné financování projektů, Získávání dalších zdrojů financování (průmysl, veřejné instituce).</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Inovace technického zázemí VŠ - laboratoře, informační a komunikační </w:t>
            </w:r>
            <w:proofErr w:type="spellStart"/>
            <w:r w:rsidRPr="00E13F63">
              <w:rPr>
                <w:rFonts w:ascii="Arial Narrow" w:eastAsia="Times New Roman" w:hAnsi="Arial Narrow" w:cs="Times New Roman"/>
                <w:b/>
                <w:bCs/>
                <w:color w:val="000000"/>
              </w:rPr>
              <w:t>infranstruktury</w:t>
            </w:r>
            <w:proofErr w:type="spellEnd"/>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studia</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Snižování financování </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Založení spin-off firem s majetkovou účastí holdingu VŠ</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w:t>
            </w:r>
          </w:p>
        </w:tc>
      </w:tr>
      <w:tr w:rsidR="00B85C5E" w:rsidRPr="00E13F63" w:rsidTr="00DC28D6">
        <w:trPr>
          <w:trHeight w:val="300"/>
        </w:trPr>
        <w:tc>
          <w:tcPr>
            <w:tcW w:w="9406" w:type="dxa"/>
            <w:tcBorders>
              <w:top w:val="nil"/>
              <w:left w:val="nil"/>
              <w:bottom w:val="nil"/>
              <w:right w:val="nil"/>
            </w:tcBorders>
            <w:shd w:val="clear" w:color="000000" w:fill="538ED5"/>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Zajištění finančních zdrojů nelimitujících rozvoj instituce</w:t>
            </w:r>
          </w:p>
        </w:tc>
      </w:tr>
      <w:tr w:rsidR="00B85C5E" w:rsidRPr="00E13F63" w:rsidTr="00DC28D6">
        <w:trPr>
          <w:trHeight w:val="300"/>
        </w:trPr>
        <w:tc>
          <w:tcPr>
            <w:tcW w:w="9406" w:type="dxa"/>
            <w:tcBorders>
              <w:top w:val="nil"/>
              <w:left w:val="nil"/>
              <w:bottom w:val="nil"/>
              <w:right w:val="nil"/>
            </w:tcBorders>
            <w:shd w:val="clear" w:color="000000" w:fill="538ED5"/>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Zkvalitňování technického a sociálního zázemí</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Vícezdrojové financování činnosti školy</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studia</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Kompletní inovace objektu</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Hledání jiných zdrojů financí</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Stabilní financování v podmínkách kontraktového financování </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Prostorové a technologické zázemí</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činnosti</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a obnova infrastruktury</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a kvalita studia</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Financování k získávání a využívání zdrojů a Efektivita MTZ + Lidské zdroje+Struktura, inovace a kvalita vzdělávacího procesu + Kvalita výstupů vzdělávání + Kvalita výsledků umělecké, výzkumné a další tvůrčí činnosti + Internacionalizace vzdělávací, výzkumné a umělecké činnosti + Zrovnoprávnění umělecké a ostatních tvůrčích činností</w:t>
            </w:r>
          </w:p>
        </w:tc>
      </w:tr>
    </w:tbl>
    <w:p w:rsidR="00B85C5E" w:rsidRPr="00E13F63" w:rsidRDefault="00B85C5E" w:rsidP="00B85C5E">
      <w:pPr>
        <w:pStyle w:val="Default"/>
        <w:spacing w:before="120" w:line="360" w:lineRule="auto"/>
        <w:jc w:val="both"/>
        <w:rPr>
          <w:rFonts w:ascii="Arial Narrow" w:hAnsi="Arial Narrow" w:cs="Times New Roman"/>
          <w:b/>
          <w:i/>
        </w:rPr>
      </w:pPr>
      <w:r w:rsidRPr="00E13F63">
        <w:rPr>
          <w:rFonts w:ascii="Arial Narrow" w:hAnsi="Arial Narrow" w:cs="Times New Roman"/>
        </w:rPr>
        <w:t xml:space="preserve"> „Stále velmi vysokou část rozpočtu představují mandatorní výdaje v podobě mezd a zákonných odvodů. Součásti se však velmi liší, pokud jde o finanční zdroje a potenciální možnost získání projektových a dalších prostředků.“ </w:t>
      </w:r>
      <w:r w:rsidRPr="00E13F63">
        <w:rPr>
          <w:rFonts w:ascii="Arial Narrow" w:hAnsi="Arial Narrow" w:cs="Times New Roman"/>
          <w:i/>
        </w:rPr>
        <w:t>Následně uváděny příklady jako</w:t>
      </w:r>
      <w:r w:rsidRPr="00E13F63">
        <w:rPr>
          <w:rFonts w:ascii="Arial Narrow" w:hAnsi="Arial Narrow" w:cs="Times New Roman"/>
        </w:rPr>
        <w:t xml:space="preserve"> „Díky úspěšné doplňkové činnosti má součást XXX velmi dobrý výsledek hospodářské činnosti, což umožňuje velmi dobrý příjem ve fondu </w:t>
      </w:r>
      <w:r w:rsidRPr="00E13F63">
        <w:rPr>
          <w:rFonts w:ascii="Arial Narrow" w:hAnsi="Arial Narrow" w:cs="Times New Roman"/>
        </w:rPr>
        <w:lastRenderedPageBreak/>
        <w:t xml:space="preserve">odměn, a tedy i schopnost tyto prostředky použít motivačně pro kvalitní akademické pracovníky.“ </w:t>
      </w:r>
      <w:r w:rsidRPr="00E13F63">
        <w:rPr>
          <w:rFonts w:ascii="Arial Narrow" w:hAnsi="Arial Narrow" w:cs="Times New Roman"/>
          <w:i/>
        </w:rPr>
        <w:t xml:space="preserve">Nebo </w:t>
      </w:r>
      <w:r w:rsidRPr="00E13F63">
        <w:rPr>
          <w:rFonts w:ascii="Arial Narrow" w:hAnsi="Arial Narrow" w:cs="Times New Roman"/>
        </w:rPr>
        <w:t xml:space="preserve">„Finanční rezervy YYY a zejména pak ZZZ jsou podstatně menší.“ </w:t>
      </w:r>
      <w:r w:rsidRPr="00E13F63">
        <w:rPr>
          <w:rFonts w:ascii="Arial Narrow" w:hAnsi="Arial Narrow" w:cs="Times New Roman"/>
          <w:i/>
        </w:rPr>
        <w:t>Řešení se dějí obvykle přerozdělením uvnitř VŠ se všemi dopady, např.:</w:t>
      </w:r>
      <w:r w:rsidRPr="00E13F63">
        <w:rPr>
          <w:rFonts w:ascii="Arial Narrow" w:hAnsi="Arial Narrow" w:cs="Times New Roman"/>
        </w:rPr>
        <w:t xml:space="preserve"> „VŠ se snaží dlouhodobě podporovat součásti pomocí IP, aby umožnila podporu </w:t>
      </w:r>
      <w:proofErr w:type="spellStart"/>
      <w:r w:rsidRPr="00E13F63">
        <w:rPr>
          <w:rFonts w:ascii="Arial Narrow" w:hAnsi="Arial Narrow" w:cs="Times New Roman"/>
        </w:rPr>
        <w:t>postdoktorských</w:t>
      </w:r>
      <w:proofErr w:type="spellEnd"/>
      <w:r w:rsidRPr="00E13F63">
        <w:rPr>
          <w:rFonts w:ascii="Arial Narrow" w:hAnsi="Arial Narrow" w:cs="Times New Roman"/>
        </w:rPr>
        <w:t xml:space="preserve"> míst aj.“ </w:t>
      </w:r>
      <w:r w:rsidRPr="00E13F63">
        <w:rPr>
          <w:rFonts w:ascii="Arial Narrow" w:hAnsi="Arial Narrow" w:cs="Times New Roman"/>
          <w:i/>
        </w:rPr>
        <w:t xml:space="preserve">Je pak otázkou, zda se jedná o strategické konání rozvojové nebo s cílem podpory přežití součásti. </w:t>
      </w:r>
      <w:r w:rsidRPr="00E13F63">
        <w:rPr>
          <w:rFonts w:ascii="Arial Narrow" w:hAnsi="Arial Narrow" w:cs="Times New Roman"/>
        </w:rPr>
        <w:t xml:space="preserve"> </w:t>
      </w:r>
      <w:r w:rsidRPr="00E13F63">
        <w:rPr>
          <w:rFonts w:ascii="Arial Narrow" w:hAnsi="Arial Narrow" w:cs="Times New Roman"/>
          <w:i/>
        </w:rPr>
        <w:t xml:space="preserve">Logicky lze pak doporučit </w:t>
      </w:r>
      <w:r w:rsidRPr="00E13F63">
        <w:rPr>
          <w:rFonts w:ascii="Arial Narrow" w:hAnsi="Arial Narrow" w:cs="Times New Roman"/>
          <w:b/>
          <w:i/>
        </w:rPr>
        <w:t xml:space="preserve">VŠ </w:t>
      </w:r>
      <w:r w:rsidRPr="00E13F63">
        <w:rPr>
          <w:rFonts w:ascii="Arial Narrow" w:eastAsia="Times New Roman" w:hAnsi="Arial Narrow" w:cs="Times New Roman"/>
          <w:b/>
          <w:i/>
        </w:rPr>
        <w:t xml:space="preserve">Bod 3: </w:t>
      </w:r>
      <w:r w:rsidRPr="00E13F63">
        <w:rPr>
          <w:rFonts w:ascii="Arial Narrow" w:eastAsia="Times New Roman" w:hAnsi="Arial Narrow" w:cs="Times New Roman"/>
        </w:rPr>
        <w:t>Usilovat o rozšíření možností získávání dalších zdrojů.</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rPr>
        <w:t xml:space="preserve">„Zapojení VŠ do většího počtu projektů (potřebné, očekávané) může vyvolat v blízké budoucnosti nutnost personálního posílení, protože rezervy jsou především v projektovém řízení.“ </w:t>
      </w:r>
      <w:r w:rsidRPr="00E13F63">
        <w:rPr>
          <w:rFonts w:ascii="Arial Narrow" w:hAnsi="Arial Narrow" w:cs="Times New Roman"/>
          <w:i/>
        </w:rPr>
        <w:t xml:space="preserve">Lze si všimnout jistých prvků (možná nevhodného) smíření akademické obce s příliš rizikovým poměrem mezi institucionálním a projektovým financováním v ČR (40 % versus 60 %). Námět pro MŠMT se touto problematikou zabývat? Viz </w:t>
      </w:r>
      <w:r w:rsidRPr="00E13F63">
        <w:rPr>
          <w:rFonts w:ascii="Arial Narrow" w:hAnsi="Arial Narrow" w:cs="Times New Roman"/>
          <w:b/>
          <w:i/>
        </w:rPr>
        <w:t xml:space="preserve">MŠMT </w:t>
      </w:r>
      <w:r w:rsidRPr="00E13F63">
        <w:rPr>
          <w:rFonts w:ascii="Arial Narrow" w:eastAsia="Times New Roman" w:hAnsi="Arial Narrow" w:cs="Times New Roman"/>
          <w:b/>
          <w:i/>
        </w:rPr>
        <w:t>Bod 10:</w:t>
      </w:r>
      <w:r w:rsidRPr="00E13F63">
        <w:rPr>
          <w:rFonts w:ascii="Arial Narrow" w:eastAsia="Times New Roman" w:hAnsi="Arial Narrow" w:cs="Times New Roman"/>
          <w:b/>
        </w:rPr>
        <w:t xml:space="preserve"> </w:t>
      </w:r>
      <w:r w:rsidRPr="00E13F63">
        <w:rPr>
          <w:rFonts w:ascii="Arial Narrow" w:eastAsia="Times New Roman" w:hAnsi="Arial Narrow" w:cs="Times New Roman"/>
        </w:rPr>
        <w:t>Snížení rizikové variability finančních zdrojů při podfinancování.</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 xml:space="preserve">Viz též zdánlivě samozřejmé (z diskuse k Full </w:t>
      </w:r>
      <w:proofErr w:type="spellStart"/>
      <w:r w:rsidRPr="00E13F63">
        <w:rPr>
          <w:rFonts w:ascii="Arial Narrow" w:hAnsi="Arial Narrow" w:cs="Times New Roman"/>
          <w:i/>
        </w:rPr>
        <w:t>Costu</w:t>
      </w:r>
      <w:proofErr w:type="spellEnd"/>
      <w:r w:rsidRPr="00E13F63">
        <w:rPr>
          <w:rFonts w:ascii="Arial Narrow" w:hAnsi="Arial Narrow" w:cs="Times New Roman"/>
          <w:i/>
        </w:rPr>
        <w:t>): „</w:t>
      </w:r>
      <w:r w:rsidRPr="00E13F63">
        <w:rPr>
          <w:rFonts w:ascii="Arial Narrow" w:hAnsi="Arial Narrow" w:cs="Times New Roman"/>
        </w:rPr>
        <w:t>Náklady spojené se zapojením VŠ do projektů v dalším období by měly být v rozhodující míře kryty z rozpočtu příslušných projektů.“</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Při hlubší disku</w:t>
      </w:r>
      <w:r w:rsidR="00CA7EE5">
        <w:rPr>
          <w:rFonts w:ascii="Arial Narrow" w:hAnsi="Arial Narrow" w:cs="Times New Roman"/>
          <w:i/>
        </w:rPr>
        <w:t>z</w:t>
      </w:r>
      <w:r w:rsidRPr="00E13F63">
        <w:rPr>
          <w:rFonts w:ascii="Arial Narrow" w:hAnsi="Arial Narrow" w:cs="Times New Roman"/>
          <w:i/>
        </w:rPr>
        <w:t>i uvedené problematiky bylo poukazováno na neřešení souvisejících a existujících ekonomických problémů VŠ (fondy, investice, využití prostředků) v připravované novele VŠ zákona. Jedná se o podvázání flexibility finančních zdrojů a navýšení rizik, a tedy ve svém důsledku větší druhotnou zátěž kapacit VŠ.</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Systémy řízení:</w:t>
      </w:r>
      <w:r w:rsidRPr="00E13F63">
        <w:rPr>
          <w:rFonts w:ascii="Arial Narrow" w:hAnsi="Arial Narrow" w:cs="Times New Roman"/>
        </w:rPr>
        <w:t xml:space="preserve"> </w:t>
      </w:r>
      <w:r w:rsidRPr="00E13F63">
        <w:rPr>
          <w:rFonts w:ascii="Arial Narrow" w:hAnsi="Arial Narrow" w:cs="Times New Roman"/>
          <w:i/>
        </w:rPr>
        <w:t>většinou plánován rozvoj současného stavu.</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Nepřímo zmiňována analogie financování RIV bodů pro umělecké obory:</w:t>
      </w:r>
      <w:r w:rsidRPr="00E13F63">
        <w:rPr>
          <w:rFonts w:ascii="Arial Narrow" w:hAnsi="Arial Narrow" w:cs="Times New Roman"/>
        </w:rPr>
        <w:t xml:space="preserve"> „Je třeba systémově zabezpečit financování tvůrčí umělecké činnosti. To by mělo být realizováno institucionální podporou umělecké činnosti, tak jako je institucionálně podporována vědecká činnost.“ </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Obecné konstatování je kritické k trendům poslední doby a souvisí s institucionálním podfinancováním těch VŠ, které nejsou či nemohou být tak úspěšné v projektových aktivitách: „</w:t>
      </w:r>
      <w:r w:rsidRPr="00E13F63">
        <w:rPr>
          <w:rFonts w:ascii="Arial Narrow" w:hAnsi="Arial Narrow" w:cs="Times New Roman"/>
        </w:rPr>
        <w:t xml:space="preserve">Existuje deficit finančních prostředků, které lze rozdělit v podobě mandatorních výdajů – tedy zejména mezd. Ten se může zvyšovat snižováním poměru ukazatele A v celkovém financování VŠ.“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Ke konkrétnímu:</w:t>
      </w:r>
      <w:r w:rsidRPr="00E13F63">
        <w:rPr>
          <w:rFonts w:ascii="Arial Narrow" w:hAnsi="Arial Narrow" w:cs="Times New Roman"/>
        </w:rPr>
        <w:t xml:space="preserve"> „Rozložení kritérií v ukazateli K není vyhovující.“ </w:t>
      </w:r>
      <w:r w:rsidRPr="00E13F63">
        <w:rPr>
          <w:rFonts w:ascii="Arial Narrow" w:hAnsi="Arial Narrow" w:cs="Times New Roman"/>
          <w:i/>
        </w:rPr>
        <w:t xml:space="preserve">zřejmě není nutné klást otázku: „Proč?“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lastRenderedPageBreak/>
        <w:t>Kategorické stanovisko:</w:t>
      </w:r>
      <w:r w:rsidRPr="00E13F63">
        <w:rPr>
          <w:rFonts w:ascii="Arial Narrow" w:hAnsi="Arial Narrow" w:cs="Times New Roman"/>
        </w:rPr>
        <w:t xml:space="preserve"> „Jak známo, kvantifikovat a měřit kvalitu výuky v oblasti umění nelze, ukazatel K bude vždy poskládán z kritérií, která jsou spíše pomocná.“ </w:t>
      </w:r>
      <w:r w:rsidRPr="00E13F63">
        <w:rPr>
          <w:rFonts w:ascii="Arial Narrow" w:hAnsi="Arial Narrow" w:cs="Times New Roman"/>
          <w:i/>
        </w:rPr>
        <w:t>prakticky značně omezuje možnosti disku</w:t>
      </w:r>
      <w:r w:rsidR="00BE66D0">
        <w:rPr>
          <w:rFonts w:ascii="Arial Narrow" w:hAnsi="Arial Narrow" w:cs="Times New Roman"/>
          <w:i/>
        </w:rPr>
        <w:t>z</w:t>
      </w:r>
      <w:r w:rsidRPr="00E13F63">
        <w:rPr>
          <w:rFonts w:ascii="Arial Narrow" w:hAnsi="Arial Narrow" w:cs="Times New Roman"/>
          <w:i/>
        </w:rPr>
        <w:t>e na uvedené téma.</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 xml:space="preserve">Možné finanční nároky identifikované jako vyplývající z iniciativ MŠMT: </w:t>
      </w:r>
      <w:r w:rsidRPr="00E13F63">
        <w:rPr>
          <w:rFonts w:ascii="Arial Narrow" w:hAnsi="Arial Narrow" w:cs="Times New Roman"/>
        </w:rPr>
        <w:t>„Finanční nároky vyvolá zákonné zavedení institucionální akreditace (mzdové náklady, režijní náklady, náklady na úpravu prostor atd.).“</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Priority zahrnují nejen otázky řízení, ale i kvality a péče o lidské zdroje:</w:t>
      </w:r>
    </w:p>
    <w:tbl>
      <w:tblPr>
        <w:tblW w:w="9406" w:type="dxa"/>
        <w:tblInd w:w="70" w:type="dxa"/>
        <w:tblCellMar>
          <w:left w:w="70" w:type="dxa"/>
          <w:right w:w="70" w:type="dxa"/>
        </w:tblCellMar>
        <w:tblLook w:val="04A0" w:firstRow="1" w:lastRow="0" w:firstColumn="1" w:lastColumn="0" w:noHBand="0" w:noVBand="1"/>
      </w:tblPr>
      <w:tblGrid>
        <w:gridCol w:w="9406"/>
      </w:tblGrid>
      <w:tr w:rsidR="00B85C5E" w:rsidRPr="00E13F63" w:rsidTr="00DC28D6">
        <w:trPr>
          <w:trHeight w:val="300"/>
        </w:trPr>
        <w:tc>
          <w:tcPr>
            <w:tcW w:w="9406" w:type="dxa"/>
            <w:tcBorders>
              <w:top w:val="nil"/>
              <w:left w:val="nil"/>
              <w:bottom w:val="nil"/>
              <w:right w:val="nil"/>
            </w:tcBorders>
            <w:shd w:val="clear" w:color="auto" w:fill="auto"/>
            <w:noWrap/>
            <w:vAlign w:val="bottom"/>
            <w:hideMark/>
          </w:tcPr>
          <w:p w:rsidR="00B85C5E" w:rsidRPr="00E13F63" w:rsidRDefault="00B85C5E" w:rsidP="00DC28D6">
            <w:pPr>
              <w:spacing w:after="0" w:line="240" w:lineRule="auto"/>
              <w:jc w:val="center"/>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ŘÍZENÍ</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Systémy řízení školy</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rPr>
            </w:pPr>
            <w:r w:rsidRPr="00E13F63">
              <w:rPr>
                <w:rFonts w:ascii="Arial Narrow" w:eastAsia="Times New Roman" w:hAnsi="Arial Narrow" w:cs="Times New Roman"/>
                <w:b/>
                <w:bCs/>
              </w:rPr>
              <w:t>Lidské zdroje</w:t>
            </w:r>
          </w:p>
        </w:tc>
      </w:tr>
      <w:tr w:rsidR="00B85C5E" w:rsidRPr="00E13F63" w:rsidTr="00DC28D6">
        <w:trPr>
          <w:trHeight w:val="300"/>
        </w:trPr>
        <w:tc>
          <w:tcPr>
            <w:tcW w:w="9406" w:type="dxa"/>
            <w:tcBorders>
              <w:top w:val="nil"/>
              <w:left w:val="nil"/>
              <w:bottom w:val="nil"/>
              <w:right w:val="nil"/>
            </w:tcBorders>
            <w:shd w:val="clear" w:color="000000" w:fill="FFFF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Systém vnitřního hodnocení kvality</w:t>
            </w:r>
          </w:p>
        </w:tc>
      </w:tr>
      <w:tr w:rsidR="00B85C5E" w:rsidRPr="00E13F63" w:rsidTr="00DC28D6">
        <w:trPr>
          <w:trHeight w:val="300"/>
        </w:trPr>
        <w:tc>
          <w:tcPr>
            <w:tcW w:w="9406" w:type="dxa"/>
            <w:tcBorders>
              <w:top w:val="nil"/>
              <w:left w:val="nil"/>
              <w:bottom w:val="nil"/>
              <w:right w:val="nil"/>
            </w:tcBorders>
            <w:shd w:val="clear" w:color="000000" w:fill="8DB4E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ICT podpora procesů</w:t>
            </w:r>
          </w:p>
        </w:tc>
      </w:tr>
      <w:tr w:rsidR="00B85C5E" w:rsidRPr="00E13F63" w:rsidTr="00DC28D6">
        <w:trPr>
          <w:trHeight w:val="300"/>
        </w:trPr>
        <w:tc>
          <w:tcPr>
            <w:tcW w:w="9406" w:type="dxa"/>
            <w:tcBorders>
              <w:top w:val="nil"/>
              <w:left w:val="nil"/>
              <w:bottom w:val="nil"/>
              <w:right w:val="nil"/>
            </w:tcBorders>
            <w:shd w:val="clear" w:color="000000" w:fill="8DB4E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Služby pro studenty a zaměstnance</w:t>
            </w:r>
          </w:p>
        </w:tc>
      </w:tr>
      <w:tr w:rsidR="00B85C5E" w:rsidRPr="00E13F63" w:rsidTr="00DC28D6">
        <w:trPr>
          <w:trHeight w:val="300"/>
        </w:trPr>
        <w:tc>
          <w:tcPr>
            <w:tcW w:w="9406" w:type="dxa"/>
            <w:tcBorders>
              <w:top w:val="nil"/>
              <w:left w:val="nil"/>
              <w:bottom w:val="nil"/>
              <w:right w:val="nil"/>
            </w:tcBorders>
            <w:shd w:val="clear" w:color="000000" w:fill="8DB4E3"/>
            <w:noWrap/>
            <w:vAlign w:val="center"/>
            <w:hideMark/>
          </w:tcPr>
          <w:p w:rsidR="00B85C5E" w:rsidRPr="00E13F63" w:rsidRDefault="00B85C5E" w:rsidP="00DC28D6">
            <w:pPr>
              <w:spacing w:after="0" w:line="240" w:lineRule="auto"/>
              <w:rPr>
                <w:rFonts w:ascii="Arial Narrow" w:eastAsia="Times New Roman" w:hAnsi="Arial Narrow" w:cs="Times New Roman"/>
                <w:b/>
                <w:bCs/>
              </w:rPr>
            </w:pPr>
            <w:r w:rsidRPr="00E13F63">
              <w:rPr>
                <w:rFonts w:ascii="Arial Narrow" w:eastAsia="Times New Roman" w:hAnsi="Arial Narrow" w:cs="Times New Roman"/>
                <w:b/>
                <w:bCs/>
              </w:rPr>
              <w:t>Řízení lidských zdrojů</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Snížení počtu studentů na jednoho akademika</w:t>
            </w:r>
          </w:p>
        </w:tc>
      </w:tr>
      <w:tr w:rsidR="00B85C5E" w:rsidRPr="00E13F63" w:rsidTr="00DC28D6">
        <w:trPr>
          <w:trHeight w:val="300"/>
        </w:trPr>
        <w:tc>
          <w:tcPr>
            <w:tcW w:w="9406" w:type="dxa"/>
            <w:tcBorders>
              <w:top w:val="nil"/>
              <w:left w:val="nil"/>
              <w:bottom w:val="nil"/>
              <w:right w:val="nil"/>
            </w:tcBorders>
            <w:shd w:val="clear" w:color="000000" w:fill="92D050"/>
            <w:noWrap/>
            <w:vAlign w:val="center"/>
            <w:hideMark/>
          </w:tcPr>
          <w:p w:rsidR="00B85C5E" w:rsidRPr="00E13F63" w:rsidRDefault="00B85C5E" w:rsidP="00DC28D6">
            <w:pPr>
              <w:spacing w:after="0" w:line="240" w:lineRule="auto"/>
              <w:rPr>
                <w:rFonts w:ascii="Arial Narrow" w:eastAsia="Times New Roman" w:hAnsi="Arial Narrow" w:cs="Times New Roman"/>
                <w:b/>
                <w:bCs/>
              </w:rPr>
            </w:pPr>
            <w:r w:rsidRPr="00E13F63">
              <w:rPr>
                <w:rFonts w:ascii="Arial Narrow" w:eastAsia="Times New Roman" w:hAnsi="Arial Narrow" w:cs="Times New Roman"/>
                <w:b/>
                <w:bCs/>
              </w:rPr>
              <w:t>Podpora lidských zdrojů</w:t>
            </w:r>
          </w:p>
        </w:tc>
      </w:tr>
      <w:tr w:rsidR="00B85C5E" w:rsidRPr="00E13F63" w:rsidTr="00DC28D6">
        <w:trPr>
          <w:trHeight w:val="300"/>
        </w:trPr>
        <w:tc>
          <w:tcPr>
            <w:tcW w:w="9406" w:type="dxa"/>
            <w:tcBorders>
              <w:top w:val="nil"/>
              <w:left w:val="nil"/>
              <w:bottom w:val="nil"/>
              <w:right w:val="nil"/>
            </w:tcBorders>
            <w:shd w:val="clear" w:color="000000" w:fill="D7E4BC"/>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Optimalizace a kvalita procesního řízení</w:t>
            </w:r>
          </w:p>
        </w:tc>
      </w:tr>
      <w:tr w:rsidR="00B85C5E" w:rsidRPr="00E13F63" w:rsidTr="00DC28D6">
        <w:trPr>
          <w:trHeight w:val="300"/>
        </w:trPr>
        <w:tc>
          <w:tcPr>
            <w:tcW w:w="9406" w:type="dxa"/>
            <w:tcBorders>
              <w:top w:val="nil"/>
              <w:left w:val="nil"/>
              <w:bottom w:val="nil"/>
              <w:right w:val="nil"/>
            </w:tcBorders>
            <w:shd w:val="clear" w:color="000000" w:fill="F2DDDC"/>
            <w:noWrap/>
            <w:vAlign w:val="center"/>
            <w:hideMark/>
          </w:tcPr>
          <w:p w:rsidR="00B85C5E" w:rsidRPr="00E13F63" w:rsidRDefault="00B85C5E" w:rsidP="00DC28D6">
            <w:pPr>
              <w:spacing w:after="0" w:line="240" w:lineRule="auto"/>
              <w:rPr>
                <w:rFonts w:ascii="Arial Narrow" w:eastAsia="Times New Roman" w:hAnsi="Arial Narrow" w:cs="Arial"/>
                <w:b/>
                <w:bCs/>
                <w:sz w:val="20"/>
                <w:szCs w:val="20"/>
              </w:rPr>
            </w:pPr>
            <w:r w:rsidRPr="00E13F63">
              <w:rPr>
                <w:rFonts w:ascii="Arial Narrow" w:eastAsia="Times New Roman" w:hAnsi="Arial Narrow" w:cs="Arial"/>
                <w:b/>
                <w:bCs/>
                <w:sz w:val="20"/>
                <w:szCs w:val="20"/>
              </w:rPr>
              <w:t>Upevňování kvality a efektivity hlavních činností</w:t>
            </w:r>
          </w:p>
        </w:tc>
      </w:tr>
      <w:tr w:rsidR="00B85C5E" w:rsidRPr="00E13F63" w:rsidTr="00DC28D6">
        <w:trPr>
          <w:trHeight w:val="300"/>
        </w:trPr>
        <w:tc>
          <w:tcPr>
            <w:tcW w:w="9406" w:type="dxa"/>
            <w:tcBorders>
              <w:top w:val="nil"/>
              <w:left w:val="nil"/>
              <w:bottom w:val="nil"/>
              <w:right w:val="nil"/>
            </w:tcBorders>
            <w:shd w:val="clear" w:color="000000" w:fill="F2DDDC"/>
            <w:noWrap/>
            <w:vAlign w:val="center"/>
            <w:hideMark/>
          </w:tcPr>
          <w:p w:rsidR="00B85C5E" w:rsidRPr="00E13F63" w:rsidRDefault="00B85C5E" w:rsidP="00DC28D6">
            <w:pPr>
              <w:spacing w:after="0" w:line="240" w:lineRule="auto"/>
              <w:rPr>
                <w:rFonts w:ascii="Arial Narrow" w:eastAsia="Times New Roman" w:hAnsi="Arial Narrow" w:cs="Arial"/>
                <w:b/>
                <w:bCs/>
                <w:sz w:val="20"/>
                <w:szCs w:val="20"/>
              </w:rPr>
            </w:pPr>
            <w:r w:rsidRPr="00E13F63">
              <w:rPr>
                <w:rFonts w:ascii="Arial Narrow" w:eastAsia="Times New Roman" w:hAnsi="Arial Narrow" w:cs="Arial"/>
                <w:b/>
                <w:bCs/>
                <w:sz w:val="20"/>
                <w:szCs w:val="20"/>
              </w:rPr>
              <w:t xml:space="preserve">Optimalizovat podpůrné činnosti univerzity </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Zvýšení počtu docentů a profesorů</w:t>
            </w:r>
          </w:p>
        </w:tc>
      </w:tr>
      <w:tr w:rsidR="00B85C5E" w:rsidRPr="00E13F63" w:rsidTr="00DC28D6">
        <w:trPr>
          <w:trHeight w:val="300"/>
        </w:trPr>
        <w:tc>
          <w:tcPr>
            <w:tcW w:w="9406" w:type="dxa"/>
            <w:tcBorders>
              <w:top w:val="nil"/>
              <w:left w:val="nil"/>
              <w:bottom w:val="nil"/>
              <w:right w:val="nil"/>
            </w:tcBorders>
            <w:shd w:val="clear" w:color="000000" w:fill="DBEEF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Individuální přístup a vztahy</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Implementace, optimalizace a stabilizace inovovaného systému hodnocení kvality</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Řízení lidských zdrojů</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Individuální přístup a vztahy</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Problematika bezpečnosti</w:t>
            </w:r>
          </w:p>
        </w:tc>
      </w:tr>
      <w:tr w:rsidR="00B85C5E" w:rsidRPr="00E13F63" w:rsidTr="00DC28D6">
        <w:trPr>
          <w:trHeight w:val="300"/>
        </w:trPr>
        <w:tc>
          <w:tcPr>
            <w:tcW w:w="9406" w:type="dxa"/>
            <w:tcBorders>
              <w:top w:val="nil"/>
              <w:left w:val="nil"/>
              <w:bottom w:val="nil"/>
              <w:right w:val="nil"/>
            </w:tcBorders>
            <w:shd w:val="clear" w:color="000000" w:fill="FFFF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2020 - Rozvoj lidských zdrojů univerzity</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Informační a komunikační technologie</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ve všech hlavních činnostech instituce</w:t>
            </w:r>
          </w:p>
        </w:tc>
      </w:tr>
      <w:tr w:rsidR="00B85C5E" w:rsidRPr="00E13F63" w:rsidTr="00DC28D6">
        <w:trPr>
          <w:trHeight w:val="300"/>
        </w:trPr>
        <w:tc>
          <w:tcPr>
            <w:tcW w:w="9406" w:type="dxa"/>
            <w:tcBorders>
              <w:top w:val="nil"/>
              <w:left w:val="nil"/>
              <w:bottom w:val="nil"/>
              <w:right w:val="nil"/>
            </w:tcBorders>
            <w:shd w:val="clear" w:color="000000" w:fill="CCC0DA"/>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lidských zdrojů a řízení</w:t>
            </w:r>
          </w:p>
        </w:tc>
      </w:tr>
      <w:tr w:rsidR="00B85C5E" w:rsidRPr="00E13F63" w:rsidTr="00DC28D6">
        <w:trPr>
          <w:trHeight w:val="300"/>
        </w:trPr>
        <w:tc>
          <w:tcPr>
            <w:tcW w:w="9406" w:type="dxa"/>
            <w:tcBorders>
              <w:top w:val="nil"/>
              <w:left w:val="nil"/>
              <w:bottom w:val="nil"/>
              <w:right w:val="nil"/>
            </w:tcBorders>
            <w:shd w:val="clear" w:color="000000" w:fill="00CC99"/>
            <w:noWrap/>
            <w:vAlign w:val="bottom"/>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Propojení dlouhodobého záměru VŠ a střednědobého plánu ministerstva</w:t>
            </w:r>
          </w:p>
        </w:tc>
      </w:tr>
      <w:tr w:rsidR="00B85C5E" w:rsidRPr="00E13F63" w:rsidTr="00DC28D6">
        <w:trPr>
          <w:trHeight w:val="300"/>
        </w:trPr>
        <w:tc>
          <w:tcPr>
            <w:tcW w:w="9406" w:type="dxa"/>
            <w:tcBorders>
              <w:top w:val="nil"/>
              <w:left w:val="nil"/>
              <w:bottom w:val="nil"/>
              <w:right w:val="nil"/>
            </w:tcBorders>
            <w:shd w:val="clear" w:color="000000" w:fill="00CC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Monitoring a měření efektivity personální, finanční a informační náročnosti (vzdělávacích, </w:t>
            </w:r>
            <w:r w:rsidRPr="00E13F63">
              <w:rPr>
                <w:rFonts w:ascii="Arial Narrow" w:eastAsia="Times New Roman" w:hAnsi="Arial Narrow" w:cs="Times New Roman"/>
                <w:b/>
                <w:bCs/>
              </w:rPr>
              <w:t>VVIE a</w:t>
            </w:r>
            <w:r w:rsidRPr="00E13F63">
              <w:rPr>
                <w:rFonts w:ascii="Arial Narrow" w:eastAsia="Times New Roman" w:hAnsi="Arial Narrow" w:cs="Times New Roman"/>
                <w:b/>
                <w:bCs/>
                <w:color w:val="000000"/>
              </w:rPr>
              <w:t xml:space="preserve"> podpůrných) činností VŠ</w:t>
            </w:r>
          </w:p>
        </w:tc>
      </w:tr>
      <w:tr w:rsidR="00B85C5E" w:rsidRPr="00E13F63" w:rsidTr="00DC28D6">
        <w:trPr>
          <w:trHeight w:val="300"/>
        </w:trPr>
        <w:tc>
          <w:tcPr>
            <w:tcW w:w="9406" w:type="dxa"/>
            <w:tcBorders>
              <w:top w:val="nil"/>
              <w:left w:val="nil"/>
              <w:bottom w:val="nil"/>
              <w:right w:val="nil"/>
            </w:tcBorders>
            <w:shd w:val="clear" w:color="000000" w:fill="00CC9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Monitoring, hodnocení a zajišťování kvality studia a výchovy</w:t>
            </w:r>
          </w:p>
        </w:tc>
      </w:tr>
      <w:tr w:rsidR="00B85C5E" w:rsidRPr="00E13F63" w:rsidTr="00DC28D6">
        <w:trPr>
          <w:trHeight w:val="300"/>
        </w:trPr>
        <w:tc>
          <w:tcPr>
            <w:tcW w:w="9406" w:type="dxa"/>
            <w:tcBorders>
              <w:top w:val="nil"/>
              <w:left w:val="nil"/>
              <w:bottom w:val="nil"/>
              <w:right w:val="nil"/>
            </w:tcBorders>
            <w:shd w:val="clear" w:color="000000" w:fill="00CC99"/>
            <w:noWrap/>
            <w:vAlign w:val="bottom"/>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Dostupnost a kvalita informačních a komunikačních technologií</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Efektivní systém řízení pro zajištění provozu školy a efektivní využívání kapacit a prostředků VŠ, interní komunikace; zajištění zdrojů financování</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Hledání a využívání nových tuzemských a zahraničních zdrojů v oblasti financování hlavních činností VŠ</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Práce s lidskými zdroji </w:t>
            </w:r>
          </w:p>
        </w:tc>
      </w:tr>
      <w:tr w:rsidR="00B85C5E" w:rsidRPr="00E13F63" w:rsidTr="00DC28D6">
        <w:trPr>
          <w:trHeight w:val="300"/>
        </w:trPr>
        <w:tc>
          <w:tcPr>
            <w:tcW w:w="9406" w:type="dxa"/>
            <w:tcBorders>
              <w:top w:val="nil"/>
              <w:left w:val="nil"/>
              <w:bottom w:val="nil"/>
              <w:right w:val="nil"/>
            </w:tcBorders>
            <w:shd w:val="clear" w:color="000000" w:fill="C5BE97"/>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lastRenderedPageBreak/>
              <w:t>Služby školy poskytované studentům, akademické obci a zaměstnancům VŠ (včetně např. služeb pro studenty se specifickými potřebami)</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Vybudování a využívání komplexního systému řízení kvality VŠ                                        2030: Efektivita a plná integrace komplexního systému řízení kvality VŠ</w:t>
            </w:r>
          </w:p>
        </w:tc>
      </w:tr>
      <w:tr w:rsidR="00B85C5E" w:rsidRPr="00E13F63" w:rsidTr="00DC28D6">
        <w:trPr>
          <w:trHeight w:val="300"/>
        </w:trPr>
        <w:tc>
          <w:tcPr>
            <w:tcW w:w="9406" w:type="dxa"/>
            <w:tcBorders>
              <w:top w:val="nil"/>
              <w:left w:val="nil"/>
              <w:bottom w:val="nil"/>
              <w:right w:val="nil"/>
            </w:tcBorders>
            <w:shd w:val="clear" w:color="000000" w:fill="C0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lidských zdrojů</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Systém vnitřního hodnocení a zajištění kvality (kvalita výuky, institucionální a mezinárodní akreditace)</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lidských zdrojů (získávání pracovníků, péče o kariérní rozvoj, hodnocení a odměňování, sociální zázemí)</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Efektivní management (optimalizace procesů, transparentní organizační struktura s jasně definovanými rolemi, financování)</w:t>
            </w:r>
          </w:p>
        </w:tc>
      </w:tr>
      <w:tr w:rsidR="00B85C5E" w:rsidRPr="00E13F63" w:rsidTr="00DC28D6">
        <w:trPr>
          <w:trHeight w:val="300"/>
        </w:trPr>
        <w:tc>
          <w:tcPr>
            <w:tcW w:w="9406" w:type="dxa"/>
            <w:tcBorders>
              <w:top w:val="nil"/>
              <w:left w:val="nil"/>
              <w:bottom w:val="nil"/>
              <w:right w:val="nil"/>
            </w:tcBorders>
            <w:shd w:val="clear" w:color="000000" w:fill="00B05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Rozvoj (kvalitativní i kvantitativní) lidských zdrojů akademických i podpůrných pracovníků</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Systém vnitřního hodnocení</w:t>
            </w:r>
          </w:p>
        </w:tc>
      </w:tr>
      <w:tr w:rsidR="00B85C5E" w:rsidRPr="00E13F63" w:rsidTr="00DC28D6">
        <w:trPr>
          <w:trHeight w:val="300"/>
        </w:trPr>
        <w:tc>
          <w:tcPr>
            <w:tcW w:w="9406" w:type="dxa"/>
            <w:tcBorders>
              <w:top w:val="nil"/>
              <w:left w:val="nil"/>
              <w:bottom w:val="nil"/>
              <w:right w:val="nil"/>
            </w:tcBorders>
            <w:shd w:val="clear" w:color="000000" w:fill="FFC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Personální zajištění vzdělávací a výzkumné (tvůrčí) činnosti</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Podpora personálního zabezpečení hlavních činností školy </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Personální rozvoj - změna kvalifikační a věkové struktury</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proofErr w:type="spellStart"/>
            <w:r w:rsidRPr="00E13F63">
              <w:rPr>
                <w:rFonts w:ascii="Arial Narrow" w:eastAsia="Times New Roman" w:hAnsi="Arial Narrow" w:cs="Times New Roman"/>
                <w:b/>
                <w:bCs/>
                <w:color w:val="000000"/>
              </w:rPr>
              <w:t>Good-will</w:t>
            </w:r>
            <w:proofErr w:type="spellEnd"/>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Vnitřní kontrola kvality</w:t>
            </w:r>
          </w:p>
        </w:tc>
      </w:tr>
      <w:tr w:rsidR="00B85C5E" w:rsidRPr="00E13F63" w:rsidTr="00DC28D6">
        <w:trPr>
          <w:trHeight w:val="300"/>
        </w:trPr>
        <w:tc>
          <w:tcPr>
            <w:tcW w:w="9406" w:type="dxa"/>
            <w:tcBorders>
              <w:top w:val="nil"/>
              <w:left w:val="nil"/>
              <w:bottom w:val="nil"/>
              <w:right w:val="nil"/>
            </w:tcBorders>
            <w:shd w:val="clear" w:color="000000" w:fill="FDE9D9"/>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Zavádění progresivních a osvědčených manažerských postupů do řízení, využívání moderních technologií</w:t>
            </w:r>
          </w:p>
        </w:tc>
      </w:tr>
      <w:tr w:rsidR="00B85C5E" w:rsidRPr="00E13F63" w:rsidTr="00DC28D6">
        <w:trPr>
          <w:trHeight w:val="300"/>
        </w:trPr>
        <w:tc>
          <w:tcPr>
            <w:tcW w:w="9406" w:type="dxa"/>
            <w:tcBorders>
              <w:top w:val="nil"/>
              <w:left w:val="nil"/>
              <w:bottom w:val="nil"/>
              <w:right w:val="nil"/>
            </w:tcBorders>
            <w:shd w:val="clear" w:color="auto" w:fill="auto"/>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Monitoring a kontrola kvality</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 xml:space="preserve">Zlepšit akademické personální zabezpečení </w:t>
            </w:r>
          </w:p>
        </w:tc>
      </w:tr>
      <w:tr w:rsidR="00B85C5E" w:rsidRPr="00E13F63" w:rsidTr="00DC28D6">
        <w:trPr>
          <w:trHeight w:val="300"/>
        </w:trPr>
        <w:tc>
          <w:tcPr>
            <w:tcW w:w="9406" w:type="dxa"/>
            <w:tcBorders>
              <w:top w:val="nil"/>
              <w:left w:val="nil"/>
              <w:bottom w:val="nil"/>
              <w:right w:val="nil"/>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Zajištění udržitelnosti projektů  VaVaI a ESF</w:t>
            </w:r>
          </w:p>
        </w:tc>
      </w:tr>
      <w:tr w:rsidR="00B85C5E" w:rsidRPr="00E13F63" w:rsidTr="00DC28D6">
        <w:trPr>
          <w:trHeight w:val="300"/>
        </w:trPr>
        <w:tc>
          <w:tcPr>
            <w:tcW w:w="9406" w:type="dxa"/>
            <w:tcBorders>
              <w:top w:val="nil"/>
              <w:left w:val="nil"/>
              <w:bottom w:val="nil"/>
              <w:right w:val="nil"/>
            </w:tcBorders>
            <w:shd w:val="clear" w:color="000000" w:fill="538ED5"/>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Podpora personálního zabezpečení hlavních činností školy</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Personální zdroje pro kvalitní pedagogický proces</w:t>
            </w:r>
          </w:p>
        </w:tc>
      </w:tr>
      <w:tr w:rsidR="00B85C5E" w:rsidRPr="00E13F63" w:rsidTr="00DC28D6">
        <w:trPr>
          <w:trHeight w:val="300"/>
        </w:trPr>
        <w:tc>
          <w:tcPr>
            <w:tcW w:w="9406" w:type="dxa"/>
            <w:tcBorders>
              <w:top w:val="nil"/>
              <w:left w:val="nil"/>
              <w:bottom w:val="nil"/>
              <w:right w:val="nil"/>
            </w:tcBorders>
            <w:shd w:val="clear" w:color="000000" w:fill="FCD5B4"/>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Zkvalitňování a kultivace akademického prostředí</w:t>
            </w:r>
          </w:p>
        </w:tc>
      </w:tr>
      <w:tr w:rsidR="00B85C5E" w:rsidRPr="00E13F63" w:rsidTr="00DC28D6">
        <w:trPr>
          <w:trHeight w:val="300"/>
        </w:trPr>
        <w:tc>
          <w:tcPr>
            <w:tcW w:w="9406" w:type="dxa"/>
            <w:tcBorders>
              <w:top w:val="nil"/>
              <w:left w:val="nil"/>
              <w:bottom w:val="nil"/>
              <w:right w:val="nil"/>
            </w:tcBorders>
            <w:shd w:val="clear" w:color="000000" w:fill="D8D8D8"/>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Kvalita výstupů</w:t>
            </w:r>
          </w:p>
        </w:tc>
      </w:tr>
      <w:tr w:rsidR="00B85C5E" w:rsidRPr="00E13F63" w:rsidTr="00DC28D6">
        <w:trPr>
          <w:trHeight w:val="300"/>
        </w:trPr>
        <w:tc>
          <w:tcPr>
            <w:tcW w:w="9406" w:type="dxa"/>
            <w:tcBorders>
              <w:top w:val="nil"/>
              <w:left w:val="nil"/>
              <w:bottom w:val="nil"/>
              <w:right w:val="nil"/>
            </w:tcBorders>
            <w:shd w:val="clear" w:color="000000" w:fill="00CCFF"/>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Směřování k efektivní instituci</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Systém řízení kvality</w:t>
            </w:r>
          </w:p>
        </w:tc>
      </w:tr>
      <w:tr w:rsidR="00B85C5E" w:rsidRPr="00E13F63" w:rsidTr="00DC28D6">
        <w:trPr>
          <w:trHeight w:val="300"/>
        </w:trPr>
        <w:tc>
          <w:tcPr>
            <w:tcW w:w="9406" w:type="dxa"/>
            <w:tcBorders>
              <w:top w:val="nil"/>
              <w:left w:val="nil"/>
              <w:bottom w:val="nil"/>
              <w:right w:val="nil"/>
            </w:tcBorders>
            <w:shd w:val="clear" w:color="000000" w:fill="99FF33"/>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Personální zabezpečení</w:t>
            </w:r>
          </w:p>
        </w:tc>
      </w:tr>
      <w:tr w:rsidR="00B85C5E" w:rsidRPr="00E13F63" w:rsidTr="00DC28D6">
        <w:trPr>
          <w:trHeight w:val="300"/>
        </w:trPr>
        <w:tc>
          <w:tcPr>
            <w:tcW w:w="9406" w:type="dxa"/>
            <w:tcBorders>
              <w:top w:val="single" w:sz="4" w:space="0" w:color="auto"/>
              <w:left w:val="single" w:sz="4" w:space="0" w:color="000000"/>
              <w:bottom w:val="nil"/>
              <w:right w:val="single" w:sz="4" w:space="0" w:color="000000"/>
            </w:tcBorders>
            <w:shd w:val="clear" w:color="000000" w:fill="FF0000"/>
            <w:noWrap/>
            <w:vAlign w:val="center"/>
            <w:hideMark/>
          </w:tcPr>
          <w:p w:rsidR="00B85C5E" w:rsidRPr="00E13F63" w:rsidRDefault="00B85C5E" w:rsidP="00DC28D6">
            <w:pPr>
              <w:spacing w:after="0" w:line="240" w:lineRule="auto"/>
              <w:rPr>
                <w:rFonts w:ascii="Arial Narrow" w:eastAsia="Times New Roman" w:hAnsi="Arial Narrow" w:cs="Times New Roman"/>
                <w:b/>
                <w:bCs/>
                <w:color w:val="000000"/>
              </w:rPr>
            </w:pPr>
            <w:r w:rsidRPr="00E13F63">
              <w:rPr>
                <w:rFonts w:ascii="Arial Narrow" w:eastAsia="Times New Roman" w:hAnsi="Arial Narrow" w:cs="Times New Roman"/>
                <w:b/>
                <w:bCs/>
                <w:color w:val="000000"/>
              </w:rPr>
              <w:t>Vybudování a využívání komplexního systému řízení kvality VŠ                                        2030: Efektivita a plná integrace komplexního systému řízení kvality VŠ</w:t>
            </w:r>
          </w:p>
        </w:tc>
      </w:tr>
    </w:tbl>
    <w:p w:rsidR="0080708A" w:rsidRPr="00E13F63" w:rsidRDefault="0080708A" w:rsidP="00B85C5E">
      <w:pPr>
        <w:pStyle w:val="Default"/>
        <w:spacing w:before="120" w:line="360" w:lineRule="auto"/>
        <w:jc w:val="both"/>
        <w:rPr>
          <w:rFonts w:ascii="Arial Narrow" w:hAnsi="Arial Narrow" w:cs="Times New Roman"/>
          <w:i/>
        </w:rPr>
      </w:pPr>
    </w:p>
    <w:p w:rsidR="0080708A" w:rsidRPr="00E13F63" w:rsidRDefault="0080708A" w:rsidP="00B85C5E">
      <w:pPr>
        <w:pStyle w:val="Default"/>
        <w:spacing w:before="120" w:line="360" w:lineRule="auto"/>
        <w:jc w:val="both"/>
        <w:rPr>
          <w:rFonts w:ascii="Arial Narrow" w:hAnsi="Arial Narrow" w:cs="Times New Roman"/>
          <w:i/>
        </w:rPr>
      </w:pPr>
    </w:p>
    <w:p w:rsidR="0080708A" w:rsidRPr="00E13F63" w:rsidRDefault="0080708A" w:rsidP="00B85C5E">
      <w:pPr>
        <w:pStyle w:val="Default"/>
        <w:spacing w:before="120" w:line="360" w:lineRule="auto"/>
        <w:jc w:val="both"/>
        <w:rPr>
          <w:rFonts w:ascii="Arial Narrow" w:hAnsi="Arial Narrow" w:cs="Times New Roman"/>
          <w:i/>
        </w:rPr>
      </w:pPr>
    </w:p>
    <w:p w:rsidR="0080708A" w:rsidRPr="00E13F63" w:rsidRDefault="0080708A" w:rsidP="00B85C5E">
      <w:pPr>
        <w:pStyle w:val="Default"/>
        <w:spacing w:before="120" w:line="360" w:lineRule="auto"/>
        <w:jc w:val="both"/>
        <w:rPr>
          <w:rFonts w:ascii="Arial Narrow" w:hAnsi="Arial Narrow" w:cs="Times New Roman"/>
          <w:i/>
        </w:rPr>
      </w:pPr>
    </w:p>
    <w:p w:rsidR="0080708A" w:rsidRPr="00E13F63" w:rsidRDefault="0080708A" w:rsidP="00B85C5E">
      <w:pPr>
        <w:pStyle w:val="Default"/>
        <w:spacing w:before="120" w:line="360" w:lineRule="auto"/>
        <w:jc w:val="both"/>
        <w:rPr>
          <w:rFonts w:ascii="Arial Narrow" w:hAnsi="Arial Narrow" w:cs="Times New Roman"/>
          <w:i/>
        </w:rPr>
      </w:pPr>
    </w:p>
    <w:p w:rsidR="003B39C0" w:rsidRDefault="003B39C0">
      <w:pPr>
        <w:spacing w:after="0" w:line="240" w:lineRule="auto"/>
        <w:rPr>
          <w:rFonts w:ascii="Arial Narrow" w:hAnsi="Arial Narrow" w:cs="Times New Roman"/>
          <w:i/>
          <w:color w:val="000000"/>
          <w:sz w:val="24"/>
          <w:szCs w:val="24"/>
        </w:rPr>
      </w:pPr>
      <w:r>
        <w:rPr>
          <w:rFonts w:ascii="Arial Narrow" w:hAnsi="Arial Narrow" w:cs="Times New Roman"/>
          <w:i/>
        </w:rPr>
        <w:br w:type="page"/>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lastRenderedPageBreak/>
        <w:t>Pokud nás v rámci agregovaných priorit zajímá vývoj odhadů financí, dostáváme:</w:t>
      </w:r>
    </w:p>
    <w:p w:rsidR="00B85C5E" w:rsidRPr="00E13F63" w:rsidRDefault="00B85C5E" w:rsidP="00B85C5E">
      <w:pPr>
        <w:pStyle w:val="Default"/>
        <w:spacing w:before="120" w:line="360" w:lineRule="auto"/>
        <w:jc w:val="center"/>
        <w:rPr>
          <w:rFonts w:ascii="Arial Narrow" w:hAnsi="Arial Narrow" w:cs="Times New Roman"/>
        </w:rPr>
      </w:pPr>
      <w:r w:rsidRPr="00E13F63">
        <w:rPr>
          <w:rFonts w:ascii="Arial Narrow" w:hAnsi="Arial Narrow" w:cs="Times New Roman"/>
          <w:noProof/>
        </w:rPr>
        <w:drawing>
          <wp:inline distT="0" distB="0" distL="0" distR="0">
            <wp:extent cx="4570476" cy="2165299"/>
            <wp:effectExtent l="19050" t="0" r="20574" b="6401"/>
            <wp:docPr id="14" name="Graf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21: X-Y graf pro změny financí (5 VŠ).</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Obrázek přibližuje očekávání VŠ (opět pomocí poměrné změny k současnosti = index) z hlediska vývoje objemu financí. Opět je zde změna z roku 2014 vůči roku 2020 (osa x) a z roku 2014 k roku 2030 (osa y). Je zde vidět změna vůči předchozímu obrázku 19 – zatímco očekávání z hlediska vývoje počtu zaměstnanců jsou variabilnější, u financí se predikující drží konzervativní konstantní predikce. Následuje obr 21a pro VVŠ, který ovšem hypotézu plně nepotvrzuje, a obr. 21b ukazuje opět významnou variabilitu po zahrnutí SVŠ (nejen kvůli odlehlé hodnotě vpravo nahoře):</w:t>
      </w:r>
    </w:p>
    <w:p w:rsidR="00B85C5E" w:rsidRPr="00E13F63" w:rsidRDefault="00B85C5E" w:rsidP="00B85C5E">
      <w:pPr>
        <w:spacing w:line="360" w:lineRule="auto"/>
        <w:jc w:val="center"/>
        <w:rPr>
          <w:rFonts w:ascii="Arial Narrow" w:hAnsi="Arial Narrow" w:cs="Times New Roman"/>
          <w:i/>
          <w:sz w:val="24"/>
          <w:szCs w:val="24"/>
        </w:rPr>
      </w:pPr>
      <w:r w:rsidRPr="00E13F63">
        <w:rPr>
          <w:rFonts w:ascii="Arial Narrow" w:hAnsi="Arial Narrow" w:cs="Times New Roman"/>
          <w:i/>
          <w:noProof/>
          <w:sz w:val="24"/>
          <w:szCs w:val="24"/>
        </w:rPr>
        <w:drawing>
          <wp:inline distT="0" distB="0" distL="0" distR="0">
            <wp:extent cx="4572000" cy="2381250"/>
            <wp:effectExtent l="19050" t="0" r="19050" b="0"/>
            <wp:docPr id="37" name="Graf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21a: X-Y graf pro změny financí (VVŠ).</w: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lastRenderedPageBreak/>
        <w:drawing>
          <wp:inline distT="0" distB="0" distL="0" distR="0">
            <wp:extent cx="4572000" cy="2743200"/>
            <wp:effectExtent l="19050" t="0" r="19050" b="0"/>
            <wp:docPr id="32" name="Graf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21b: X-Y graf pro změny financí (VŠ).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i/>
          <w:sz w:val="24"/>
          <w:szCs w:val="24"/>
        </w:rPr>
        <w:t>Další možnosti posouzení interakcí umožňují X-Y grafy, zobrazují data pro dvě různé charakteristiky:</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Narrow" w:eastAsia="Times New Roman" w:hAnsi="Arial Narrow" w:cs="Times New Roman"/>
          <w:sz w:val="24"/>
          <w:szCs w:val="24"/>
        </w:rPr>
      </w:pPr>
      <w:r w:rsidRPr="00E13F63">
        <w:rPr>
          <w:rFonts w:ascii="Arial Narrow" w:eastAsia="Times New Roman" w:hAnsi="Arial Narrow" w:cs="Times New Roman"/>
          <w:noProof/>
          <w:sz w:val="24"/>
          <w:szCs w:val="24"/>
        </w:rPr>
        <w:drawing>
          <wp:inline distT="0" distB="0" distL="0" distR="0">
            <wp:extent cx="4572000" cy="2743200"/>
            <wp:effectExtent l="19050" t="0" r="19050" b="0"/>
            <wp:docPr id="26" name="Graf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21: X-Y graf pro srovnání zaměstnanců a financí (VVŠ).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i/>
          <w:sz w:val="24"/>
          <w:szCs w:val="24"/>
        </w:rPr>
        <w:t>Nepotvrzuje se, že by VŠ chtěly systematicky navýšit objem finančních prostředků alokovaných na jednoho zaměstnance (platí pro jednotlivé VVŠ).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Narrow" w:eastAsia="Times New Roman" w:hAnsi="Arial Narrow" w:cs="Times New Roman"/>
          <w:sz w:val="24"/>
          <w:szCs w:val="24"/>
        </w:rPr>
      </w:pPr>
      <w:r w:rsidRPr="00E13F63">
        <w:rPr>
          <w:rFonts w:ascii="Arial Narrow" w:eastAsia="Times New Roman" w:hAnsi="Arial Narrow" w:cs="Times New Roman"/>
          <w:noProof/>
          <w:sz w:val="24"/>
          <w:szCs w:val="24"/>
        </w:rPr>
        <w:lastRenderedPageBreak/>
        <w:drawing>
          <wp:inline distT="0" distB="0" distL="0" distR="0">
            <wp:extent cx="4572000" cy="2743200"/>
            <wp:effectExtent l="19050" t="0" r="19050" b="0"/>
            <wp:docPr id="27" name="Graf 9"/>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22: X-Y graf pro srovnání zaměstnanců a studentů.</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i/>
          <w:sz w:val="24"/>
          <w:szCs w:val="24"/>
        </w:rPr>
        <w:t xml:space="preserve">Opět můžeme konstatovat, že VVŠ neočekávají ve svých predikcích systematický pokles počtu studentů na jednoho učitele. Dochází k tomu díky vlivu demografického vývoje na části VŠ (viz body blízké bodu o souřadnicích 1, 0,8).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u w:val="single"/>
        </w:rPr>
        <w:t>Prostorové otázky:</w:t>
      </w:r>
      <w:r w:rsidRPr="00E13F63">
        <w:rPr>
          <w:rFonts w:ascii="Arial Narrow" w:hAnsi="Arial Narrow" w:cs="Times New Roman"/>
          <w:b/>
        </w:rPr>
        <w:t xml:space="preserve"> </w:t>
      </w:r>
      <w:r w:rsidRPr="00E13F63">
        <w:rPr>
          <w:rFonts w:ascii="Arial Narrow" w:hAnsi="Arial Narrow" w:cs="Times New Roman"/>
          <w:i/>
        </w:rPr>
        <w:t xml:space="preserve">V případě prostor je často konstatována stabilizace prostor. Zejména to platí pro mimopražské (projevuje se využité OP předchozího období) a malé VŠ (soukromé dosáhly jisté stabilizace). Je konstatována nutnost oprav případně nových kapacit u pražských velkých VŠ a u dalších jednotlivých VŠ. Z daného lze ovšem vyvodit buď doporučení na strategickou koncentraci investičních prostředků, nebo naopak na její decentralizaci. </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Stávající prostory jsou pro většinu strategických priorit považovány za dostatečné.</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Prostorové požadavky spojené se systémem řízení kvality jsou vyšší na rektorátní úrovni, minimální na úrovni fakult.</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Současný stav výukových prostor je i konkrétně charakterizován, což svědčí o zpracování strategických dokumentů v oblasti stavebních investic. Pokud by VŠ v souladu se strategickým rámcem a DZ MŠMT do roku 2020 zvyšovaly podíl VŠ studentů se specifickými potřebami, bude to mít dopad na investiční náklady v souvislosti s úpravami výukových prostor.</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lastRenderedPageBreak/>
        <w:t xml:space="preserve">Objevuje se: </w:t>
      </w:r>
      <w:r w:rsidRPr="00E13F63">
        <w:rPr>
          <w:rFonts w:ascii="Arial Narrow" w:hAnsi="Arial Narrow" w:cs="Times New Roman"/>
        </w:rPr>
        <w:t xml:space="preserve">„VŠ disponuje (uspokojivými, vhodnými) prostory ve vhodné lokalitě města, které jsou dostačující pro stávající výuku a pro související tvůrčí činnost.“ </w:t>
      </w:r>
      <w:r w:rsidRPr="00E13F63">
        <w:rPr>
          <w:rFonts w:ascii="Arial Narrow" w:hAnsi="Arial Narrow" w:cs="Times New Roman"/>
          <w:i/>
        </w:rPr>
        <w:t>Nebo: „</w:t>
      </w:r>
      <w:r w:rsidRPr="00E13F63">
        <w:rPr>
          <w:rFonts w:ascii="Arial Narrow" w:hAnsi="Arial Narrow" w:cs="Times New Roman"/>
        </w:rPr>
        <w:t xml:space="preserve">Vzhledem ke konzervativní rozvojové politice zaměřené na kvalitu výuky a výzkumu nepředpokládáme nárůst potřeby dalších prostor.“ </w:t>
      </w:r>
      <w:r w:rsidRPr="00E13F63">
        <w:rPr>
          <w:rFonts w:ascii="Arial Narrow" w:hAnsi="Arial Narrow" w:cs="Times New Roman"/>
          <w:i/>
        </w:rPr>
        <w:t xml:space="preserve">Případně selektivně a cíleně: </w:t>
      </w:r>
      <w:r w:rsidRPr="00E13F63">
        <w:rPr>
          <w:rFonts w:ascii="Arial Narrow" w:hAnsi="Arial Narrow" w:cs="Times New Roman"/>
        </w:rPr>
        <w:t xml:space="preserve">„Jisté prostorové požadavky bude třeba předpokládat u knihoven.“ </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Diskutuje se vhodnější využívání stávajících kapacit:</w:t>
      </w:r>
      <w:r w:rsidRPr="00E13F63">
        <w:rPr>
          <w:rFonts w:ascii="Arial Narrow" w:hAnsi="Arial Narrow" w:cs="Times New Roman"/>
        </w:rPr>
        <w:t xml:space="preserve"> „Bude třeba lépe vytěžovat stávající prostory…“ </w:t>
      </w:r>
      <w:r w:rsidRPr="00E13F63">
        <w:rPr>
          <w:rFonts w:ascii="Arial Narrow" w:hAnsi="Arial Narrow" w:cs="Times New Roman"/>
          <w:i/>
        </w:rPr>
        <w:t>Zejména v souvislosti se vzdálenými lokalitami existují realistická stanoviska:</w:t>
      </w:r>
      <w:r w:rsidRPr="00E13F63">
        <w:rPr>
          <w:rFonts w:ascii="Arial Narrow" w:hAnsi="Arial Narrow" w:cs="Times New Roman"/>
        </w:rPr>
        <w:t xml:space="preserve"> „Jeví se možnost využívat i další prostory mimo ZZZ, není však zřejmá poptávka po takových možnostech jak u AP, tak u studentů.“</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 xml:space="preserve">V souvislosti s uvažováním rozvoje a zejména projektových aktivit se i nadále objevuje: </w:t>
      </w:r>
      <w:r w:rsidRPr="00E13F63">
        <w:rPr>
          <w:rFonts w:ascii="Arial Narrow" w:hAnsi="Arial Narrow" w:cs="Times New Roman"/>
        </w:rPr>
        <w:t xml:space="preserve">„Vzhledem k tomu, že se předpokládá rozvoj zejména v oblasti XXX, bude v případě větší potřeby nutné třeba přistoupit k výstavbě-pronájmu prostor.“ </w:t>
      </w:r>
      <w:r w:rsidRPr="00E13F63">
        <w:rPr>
          <w:rFonts w:ascii="Arial Narrow" w:hAnsi="Arial Narrow" w:cs="Times New Roman"/>
          <w:i/>
        </w:rPr>
        <w:t>Nebo</w:t>
      </w:r>
      <w:r w:rsidRPr="00E13F63">
        <w:rPr>
          <w:rFonts w:ascii="Arial Narrow" w:hAnsi="Arial Narrow" w:cs="Times New Roman"/>
        </w:rPr>
        <w:t xml:space="preserve"> „Zapojení VŠ do více projektů oproti současnému stavu vyvolá potřebu prostor pro projektové manažery a jejich tým. Prostorové požadavky zcela jistě vyvolá zákonné zavedení institucionální akreditace a její personální zajištění.“ </w:t>
      </w:r>
      <w:r w:rsidRPr="00E13F63">
        <w:rPr>
          <w:rFonts w:ascii="Arial Narrow" w:hAnsi="Arial Narrow" w:cs="Times New Roman"/>
          <w:i/>
        </w:rPr>
        <w:t xml:space="preserve">Většinou se řeší i finanční náklady: </w:t>
      </w:r>
      <w:r w:rsidRPr="00E13F63">
        <w:rPr>
          <w:rFonts w:ascii="Arial Narrow" w:hAnsi="Arial Narrow" w:cs="Times New Roman"/>
        </w:rPr>
        <w:t>„Pronájem bude hrazen z příjmu YYY.“</w:t>
      </w:r>
    </w:p>
    <w:p w:rsidR="00B85C5E" w:rsidRPr="00E13F63" w:rsidRDefault="00B85C5E" w:rsidP="00B85C5E">
      <w:pPr>
        <w:jc w:val="both"/>
        <w:rPr>
          <w:rFonts w:ascii="Arial Narrow" w:hAnsi="Arial Narrow" w:cs="Times New Roman"/>
          <w:sz w:val="24"/>
          <w:szCs w:val="24"/>
        </w:rPr>
      </w:pP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drawing>
          <wp:inline distT="0" distB="0" distL="0" distR="0">
            <wp:extent cx="4572000" cy="2743200"/>
            <wp:effectExtent l="19050" t="0" r="19050" b="0"/>
            <wp:docPr id="24" name="Graf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22: X-Y graf pro změny v užívaných plochách (5 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i/>
          <w:sz w:val="24"/>
          <w:szCs w:val="24"/>
        </w:rPr>
        <w:lastRenderedPageBreak/>
        <w:t>Vidíme, že ze 4 VŠ, ke kterým (z 5 náhodně vybraných ze 41) dvě předpokládají investiční výstavbu do roku 2020 a dvě VŠ stavební investice neplánují. Podobná situace platí pro VVŠ (viz obr. 22a), kde navíc hrají roli velké investice – viz odlehlé body</w:t>
      </w:r>
      <w:r w:rsidR="00467AC9">
        <w:rPr>
          <w:rFonts w:ascii="Arial Narrow" w:eastAsia="Times New Roman" w:hAnsi="Arial Narrow" w:cs="Times New Roman"/>
          <w:i/>
          <w:sz w:val="24"/>
          <w:szCs w:val="24"/>
        </w:rPr>
        <w:t>.</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Arial Narrow" w:eastAsia="Times New Roman" w:hAnsi="Arial Narrow" w:cs="Times New Roman"/>
          <w:sz w:val="24"/>
          <w:szCs w:val="24"/>
        </w:rPr>
      </w:pPr>
      <w:r w:rsidRPr="00E13F63">
        <w:rPr>
          <w:rFonts w:ascii="Arial Narrow" w:eastAsia="Times New Roman" w:hAnsi="Arial Narrow" w:cs="Times New Roman"/>
          <w:noProof/>
          <w:sz w:val="24"/>
          <w:szCs w:val="24"/>
        </w:rPr>
        <w:drawing>
          <wp:inline distT="0" distB="0" distL="0" distR="0">
            <wp:extent cx="4572000" cy="2743200"/>
            <wp:effectExtent l="19050" t="0" r="19050" b="0"/>
            <wp:docPr id="39" name="Graf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22a: X-Y graf pro změny v užívaných plochách (VVŠ).</w:t>
      </w:r>
    </w:p>
    <w:p w:rsidR="00B85C5E" w:rsidRPr="00E13F63" w:rsidRDefault="00B85C5E" w:rsidP="00B85C5E">
      <w:pPr>
        <w:jc w:val="both"/>
        <w:rPr>
          <w:rFonts w:ascii="Arial Narrow" w:hAnsi="Arial Narrow" w:cs="Times New Roman"/>
          <w:i/>
          <w:sz w:val="24"/>
          <w:szCs w:val="24"/>
        </w:rPr>
      </w:pPr>
      <w:r w:rsidRPr="00E13F63">
        <w:rPr>
          <w:rFonts w:ascii="Arial Narrow" w:hAnsi="Arial Narrow" w:cs="Times New Roman"/>
          <w:i/>
          <w:sz w:val="24"/>
          <w:szCs w:val="24"/>
        </w:rPr>
        <w:t xml:space="preserve">Zařazení SVŠ v případě prostor nepřináší skokový nárůst variability jako v předchozích případech. </w:t>
      </w:r>
    </w:p>
    <w:p w:rsidR="00B85C5E" w:rsidRPr="00E13F63" w:rsidRDefault="00B85C5E" w:rsidP="00B85C5E">
      <w:pPr>
        <w:pStyle w:val="Default"/>
        <w:spacing w:before="120" w:line="360" w:lineRule="auto"/>
        <w:jc w:val="center"/>
        <w:rPr>
          <w:rFonts w:ascii="Arial Narrow" w:hAnsi="Arial Narrow" w:cs="Times New Roman"/>
        </w:rPr>
      </w:pPr>
      <w:r w:rsidRPr="00E13F63">
        <w:rPr>
          <w:rFonts w:ascii="Arial Narrow" w:hAnsi="Arial Narrow" w:cs="Times New Roman"/>
          <w:noProof/>
        </w:rPr>
        <w:drawing>
          <wp:inline distT="0" distB="0" distL="0" distR="0">
            <wp:extent cx="4572000" cy="2743200"/>
            <wp:effectExtent l="19050" t="0" r="19050" b="0"/>
            <wp:docPr id="33" name="Graf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22b: X-Y graf pro změny v užívaných plochách (VŠ).</w:t>
      </w:r>
    </w:p>
    <w:p w:rsidR="00B85C5E" w:rsidRPr="00E13F63" w:rsidRDefault="00B85C5E" w:rsidP="00B85C5E">
      <w:pPr>
        <w:pStyle w:val="Default"/>
        <w:spacing w:before="120" w:line="360" w:lineRule="auto"/>
        <w:jc w:val="both"/>
        <w:rPr>
          <w:rFonts w:ascii="Arial Narrow" w:hAnsi="Arial Narrow" w:cs="Times New Roman"/>
        </w:rPr>
      </w:pP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u w:val="single"/>
        </w:rPr>
        <w:lastRenderedPageBreak/>
        <w:t>Přístroje:</w:t>
      </w:r>
      <w:r w:rsidRPr="00E13F63">
        <w:rPr>
          <w:rFonts w:ascii="Arial Narrow" w:hAnsi="Arial Narrow" w:cs="Times New Roman"/>
          <w:b/>
        </w:rPr>
        <w:t xml:space="preserve"> </w:t>
      </w:r>
      <w:r w:rsidRPr="00E13F63">
        <w:rPr>
          <w:rFonts w:ascii="Arial Narrow" w:hAnsi="Arial Narrow" w:cs="Times New Roman"/>
          <w:i/>
        </w:rPr>
        <w:t>Přístrojové „ambice“ u mimopražských VŠ saturovány v rámci evropských projektů. Silněji zaznívá u pražských VŠ.  Nepřímo ve všech případech vede na problémy související s otázkami odpisů.</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Problematika přístrojového vybavení je logicky pojímána heterogenně uvnitř VŠ, a to i u specializovaných a menších: „</w:t>
      </w:r>
      <w:r w:rsidRPr="00E13F63">
        <w:rPr>
          <w:rFonts w:ascii="Arial Narrow" w:hAnsi="Arial Narrow" w:cs="Times New Roman"/>
        </w:rPr>
        <w:t xml:space="preserve">Fakulty XXX se různí v nárocích na přístrojové vybavení a jeho obnovu.“ </w:t>
      </w:r>
      <w:r w:rsidRPr="00E13F63">
        <w:rPr>
          <w:rFonts w:ascii="Arial Narrow" w:hAnsi="Arial Narrow" w:cs="Times New Roman"/>
          <w:i/>
        </w:rPr>
        <w:t xml:space="preserve">Je cenné, že VŠ v podkladech diskutují, jak nároky tohoto zdroje řešit, byť v různé míře konkrétnosti: </w:t>
      </w:r>
      <w:r w:rsidRPr="00E13F63">
        <w:rPr>
          <w:rFonts w:ascii="Arial Narrow" w:hAnsi="Arial Narrow" w:cs="Times New Roman"/>
        </w:rPr>
        <w:t xml:space="preserve">„Bude třeba neustále usilovat o vysokou úroveň vybavení všech pracovišť formou programového financování, OP VVV aj.“ </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 xml:space="preserve">Uvádějí se pochopitelné souvislosti: </w:t>
      </w:r>
      <w:r w:rsidRPr="00E13F63">
        <w:rPr>
          <w:rFonts w:ascii="Arial Narrow" w:hAnsi="Arial Narrow" w:cs="Times New Roman"/>
        </w:rPr>
        <w:t xml:space="preserve">„Zkvalitnění přístrojového vybavení může mít vliv na spokojenost pedagogů i studentů, stejně jako má současná úroveň přístrojového vybavení.“ </w:t>
      </w:r>
      <w:r w:rsidRPr="00E13F63">
        <w:rPr>
          <w:rFonts w:ascii="Arial Narrow" w:hAnsi="Arial Narrow" w:cs="Times New Roman"/>
          <w:i/>
        </w:rPr>
        <w:t>Nebo</w:t>
      </w:r>
      <w:r w:rsidRPr="00E13F63">
        <w:rPr>
          <w:rFonts w:ascii="Arial Narrow" w:hAnsi="Arial Narrow" w:cs="Times New Roman"/>
        </w:rPr>
        <w:t xml:space="preserve"> „Moderní a kvalitní vybavení informačními technologiemi má rovněž vliv na úroveň pracovního prostředí a pracovní spokojenosti.“ Případně: „VŠ bude dbát i do budoucna v rámci možností o to, aby IT splňovaly svůj účel a aby existoval vysoký komfort připojení nejen v kancelářích, ale také na učebnách a v odpočivných zónách a studentských kavárnách.“ </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 xml:space="preserve">Předpokládá se průběžná obnova přístrojového vybavení v rozumné míře ve vazbě na jeho zastarávání a opotřebení. Souvisí s otázkou </w:t>
      </w:r>
      <w:proofErr w:type="spellStart"/>
      <w:r w:rsidRPr="00E13F63">
        <w:rPr>
          <w:rFonts w:ascii="Arial Narrow" w:hAnsi="Arial Narrow" w:cs="Times New Roman"/>
          <w:i/>
          <w:sz w:val="24"/>
          <w:szCs w:val="24"/>
        </w:rPr>
        <w:t>FRIMu</w:t>
      </w:r>
      <w:proofErr w:type="spellEnd"/>
      <w:r w:rsidRPr="00E13F63">
        <w:rPr>
          <w:rFonts w:ascii="Arial Narrow" w:hAnsi="Arial Narrow" w:cs="Times New Roman"/>
          <w:i/>
          <w:sz w:val="24"/>
          <w:szCs w:val="24"/>
        </w:rPr>
        <w:t xml:space="preserve"> – je vhodné doporučit vyhodnotit dosavadní zkušenosti s generováním odpisů.</w:t>
      </w:r>
    </w:p>
    <w:p w:rsidR="00B85C5E" w:rsidRPr="00E13F63" w:rsidRDefault="00B85C5E" w:rsidP="00B85C5E">
      <w:pPr>
        <w:spacing w:line="360" w:lineRule="auto"/>
        <w:jc w:val="both"/>
        <w:rPr>
          <w:rFonts w:ascii="Arial Narrow" w:hAnsi="Arial Narrow" w:cs="Times New Roman"/>
          <w:sz w:val="24"/>
          <w:szCs w:val="24"/>
        </w:rPr>
      </w:pPr>
      <w:r w:rsidRPr="00E13F63">
        <w:rPr>
          <w:rFonts w:ascii="Arial Narrow" w:hAnsi="Arial Narrow" w:cs="Times New Roman"/>
          <w:i/>
          <w:sz w:val="24"/>
          <w:szCs w:val="24"/>
        </w:rPr>
        <w:t xml:space="preserve">VŠ, které nezískaly evropské projekty, shrnují: </w:t>
      </w:r>
      <w:r w:rsidRPr="00E13F63">
        <w:rPr>
          <w:rFonts w:ascii="Arial Narrow" w:hAnsi="Arial Narrow" w:cs="Times New Roman"/>
          <w:sz w:val="24"/>
          <w:szCs w:val="24"/>
        </w:rPr>
        <w:t>„Na běžný vědecký provoz (vyjma náročných přístrojových investic) jsou stávající finance téměř postačující, s ohledem na úmysl vědu posílit bude však nezbytné v nejbližších letech najít další zdroje.“</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VŠ, které nezískaly evropské projekty, uvádějí: „</w:t>
      </w:r>
      <w:r w:rsidRPr="00E13F63">
        <w:rPr>
          <w:rFonts w:ascii="Arial Narrow" w:hAnsi="Arial Narrow" w:cs="Times New Roman"/>
          <w:sz w:val="24"/>
          <w:szCs w:val="24"/>
        </w:rPr>
        <w:t xml:space="preserve">Momentální stav přístrojového vybavení umožňuje provádět odpovídající výzkum, v řadě oblastí však přístroje rychle zastarávají a je zřejmé, že v horizontu po roce 2020 bude nezbytná finančně náročná obnova.“ </w:t>
      </w:r>
      <w:r w:rsidRPr="00E13F63">
        <w:rPr>
          <w:rFonts w:ascii="Arial Narrow" w:hAnsi="Arial Narrow" w:cs="Times New Roman"/>
          <w:i/>
          <w:sz w:val="24"/>
          <w:szCs w:val="24"/>
        </w:rPr>
        <w:t>Lze poznamenat, že až na krátkou dobu sledování poměrového ukazatele (objem projektových peněz souvisejících se získáním RIV bodů) neexistují rozbory, které by se obsáhleji zabývaly nejen tzv. výkonností oborů, ale i jejich nákladností. Jde o námět do budoucna?</w:t>
      </w:r>
    </w:p>
    <w:p w:rsidR="00B85C5E" w:rsidRPr="00E13F63" w:rsidRDefault="00B85C5E" w:rsidP="00B85C5E">
      <w:pPr>
        <w:jc w:val="both"/>
        <w:rPr>
          <w:rFonts w:ascii="Arial Narrow" w:hAnsi="Arial Narrow" w:cs="Times New Roman"/>
          <w:sz w:val="24"/>
          <w:szCs w:val="24"/>
        </w:rPr>
      </w:pP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lastRenderedPageBreak/>
        <w:drawing>
          <wp:inline distT="0" distB="0" distL="0" distR="0">
            <wp:extent cx="4572000" cy="2743200"/>
            <wp:effectExtent l="19050" t="0" r="19050" b="0"/>
            <wp:docPr id="22" name="Graf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23: X-Y graf pro změny v přístrojovém vybavení.</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Střízlivější přístup panuje v případě přístrojového vybavení, výjimkou je ovšem odlehlý bod, který buď reprezentuje chybu, nebo souvisí s plánovaným nákupem velmi drahého zařízení na poměry uvedené VŠ zřejmě z projektu. Problém je ještě větší na obr. 23a, obrázek 23b pak lze považovat za srovnatelný:</w: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drawing>
          <wp:inline distT="0" distB="0" distL="0" distR="0">
            <wp:extent cx="4572000" cy="2743200"/>
            <wp:effectExtent l="19050" t="0" r="19050" b="0"/>
            <wp:docPr id="40" name="Graf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23a: X-Y graf pro změny v přístrojovém vybavení (VVŠ).</w:t>
      </w:r>
    </w:p>
    <w:p w:rsidR="00B85C5E" w:rsidRPr="00E13F63" w:rsidRDefault="00B85C5E" w:rsidP="00B85C5E">
      <w:pPr>
        <w:spacing w:line="360" w:lineRule="auto"/>
        <w:jc w:val="center"/>
        <w:rPr>
          <w:rFonts w:ascii="Arial Narrow" w:hAnsi="Arial Narrow" w:cs="Times New Roman"/>
          <w:i/>
          <w:sz w:val="24"/>
          <w:szCs w:val="24"/>
        </w:rPr>
      </w:pPr>
      <w:r w:rsidRPr="00E13F63">
        <w:rPr>
          <w:rFonts w:ascii="Arial Narrow" w:hAnsi="Arial Narrow" w:cs="Times New Roman"/>
          <w:i/>
          <w:noProof/>
          <w:sz w:val="24"/>
          <w:szCs w:val="24"/>
        </w:rPr>
        <w:lastRenderedPageBreak/>
        <w:drawing>
          <wp:inline distT="0" distB="0" distL="0" distR="0">
            <wp:extent cx="4572000" cy="2743200"/>
            <wp:effectExtent l="19050" t="0" r="19050" b="0"/>
            <wp:docPr id="34" name="Graf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23b: X-Y graf pro změny v přístrojovém vybavení (VŠ).</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u w:val="single"/>
        </w:rPr>
        <w:t>Informační technologie:</w:t>
      </w:r>
      <w:r w:rsidRPr="00E13F63">
        <w:rPr>
          <w:rFonts w:ascii="Arial Narrow" w:hAnsi="Arial Narrow" w:cs="Times New Roman"/>
          <w:b/>
        </w:rPr>
        <w:t xml:space="preserve"> </w:t>
      </w:r>
      <w:r w:rsidRPr="00E13F63">
        <w:rPr>
          <w:rFonts w:ascii="Arial Narrow" w:hAnsi="Arial Narrow" w:cs="Times New Roman"/>
          <w:i/>
        </w:rPr>
        <w:t>V oblasti IT lze konstatovat, že se většinově objevují očekávané reflexe vnějšího vývoje s minimem originálních přístupů, následující anonymní citace to dokládají:</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rPr>
        <w:t xml:space="preserve">„V roce 2020 je třeba předpokládat ještě vyšší podíl individuálních přístupů studentů k sítím.“ „Je pravděpodobné, že datové paušály se rozšíří natolik, že nebude třeba interní </w:t>
      </w:r>
      <w:proofErr w:type="spellStart"/>
      <w:r w:rsidRPr="00E13F63">
        <w:rPr>
          <w:rFonts w:ascii="Arial Narrow" w:hAnsi="Arial Narrow" w:cs="Times New Roman"/>
        </w:rPr>
        <w:t>wifi</w:t>
      </w:r>
      <w:proofErr w:type="spellEnd"/>
      <w:r w:rsidRPr="00E13F63">
        <w:rPr>
          <w:rFonts w:ascii="Arial Narrow" w:hAnsi="Arial Narrow" w:cs="Times New Roman"/>
        </w:rPr>
        <w:t>.“</w:t>
      </w:r>
    </w:p>
    <w:p w:rsidR="00B85C5E" w:rsidRPr="00E13F63" w:rsidRDefault="00B85C5E" w:rsidP="00B85C5E">
      <w:pPr>
        <w:jc w:val="both"/>
        <w:rPr>
          <w:rFonts w:ascii="Arial Narrow" w:hAnsi="Arial Narrow" w:cs="Times New Roman"/>
          <w:sz w:val="24"/>
          <w:szCs w:val="24"/>
        </w:rPr>
      </w:pP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drawing>
          <wp:inline distT="0" distB="0" distL="0" distR="0">
            <wp:extent cx="4572000" cy="2457450"/>
            <wp:effectExtent l="19050" t="0" r="19050" b="0"/>
            <wp:docPr id="20" name="Graf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24: X-Y graf pro změny v informačních technologiích (5 VŠ).</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lastRenderedPageBreak/>
        <w:t>Podobná situace jako u informačních zdrojů je u informačních technologií (chybí 1 údaj z 5). Opět zde platí to, co pro informační zdroje. Kdo má ambice utrácet, bude utrácet v obou obdobích více (nebo to bude plánovat). Vidíme tedy rozdíl mezi předpokládanou „</w:t>
      </w:r>
      <w:proofErr w:type="spellStart"/>
      <w:r w:rsidRPr="00E13F63">
        <w:rPr>
          <w:rFonts w:ascii="Arial Narrow" w:hAnsi="Arial Narrow" w:cs="Times New Roman"/>
          <w:i/>
          <w:sz w:val="24"/>
          <w:szCs w:val="24"/>
        </w:rPr>
        <w:t>neobnovou</w:t>
      </w:r>
      <w:proofErr w:type="spellEnd"/>
      <w:r w:rsidRPr="00E13F63">
        <w:rPr>
          <w:rFonts w:ascii="Arial Narrow" w:hAnsi="Arial Narrow" w:cs="Times New Roman"/>
          <w:i/>
          <w:sz w:val="24"/>
          <w:szCs w:val="24"/>
        </w:rPr>
        <w:t>“ a předpokladem utrácení v násobcích. Na obr. 24a pak trend narušují případy koncentrace investic do různých období a tento trend pokračuje po zařazení SVŠ viz obr. 24b.</w: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drawing>
          <wp:inline distT="0" distB="0" distL="0" distR="0">
            <wp:extent cx="4572000" cy="2743200"/>
            <wp:effectExtent l="19050" t="0" r="19050" b="0"/>
            <wp:docPr id="41" name="Graf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24a: X-Y graf pro změny v informačních technologiích (VVŠ).</w: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drawing>
          <wp:inline distT="0" distB="0" distL="0" distR="0">
            <wp:extent cx="4572000" cy="2743200"/>
            <wp:effectExtent l="19050" t="0" r="19050" b="0"/>
            <wp:docPr id="35" name="Graf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24b: X-Y graf pro změny v informačních technologiích (VŠ).</w:t>
      </w:r>
    </w:p>
    <w:p w:rsidR="00B85C5E" w:rsidRPr="00E13F63" w:rsidRDefault="00B85C5E" w:rsidP="00B85C5E">
      <w:pPr>
        <w:pStyle w:val="Default"/>
        <w:spacing w:before="120" w:line="360" w:lineRule="auto"/>
        <w:jc w:val="both"/>
        <w:rPr>
          <w:rFonts w:ascii="Arial Narrow" w:hAnsi="Arial Narrow" w:cs="Times New Roman"/>
        </w:rPr>
      </w:pP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u w:val="single"/>
        </w:rPr>
        <w:t>Informační zdroje:</w:t>
      </w:r>
      <w:r w:rsidRPr="00E13F63">
        <w:rPr>
          <w:rFonts w:ascii="Arial Narrow" w:hAnsi="Arial Narrow" w:cs="Times New Roman"/>
          <w:b/>
        </w:rPr>
        <w:t xml:space="preserve"> </w:t>
      </w:r>
      <w:r w:rsidRPr="00E13F63">
        <w:rPr>
          <w:rFonts w:ascii="Arial Narrow" w:hAnsi="Arial Narrow" w:cs="Times New Roman"/>
          <w:i/>
        </w:rPr>
        <w:t xml:space="preserve">Podobně jako v oblasti IT se objevují očekávané náměty v oblasti informačních zdrojů. Často je kladen důraz na dostupnost vnějších dat a na lepší zpracování a zpřístupnění vnitřních zdrojů. Zde lze zdůraznit opakovaně uváděnou podporu online zveřejňování, dále požadavky na centralizaci přístupu ke zdrojům v ČR (jednoznačný odraz nedávné složité situace) a lze si všimnout srovnání se zahraničními univerzitami, ať už pro konstatování zaostávání nebo při formulaci cíle. Hlubší rozbor by si zasloužil rozmanitý postoj k open </w:t>
      </w:r>
      <w:proofErr w:type="spellStart"/>
      <w:r w:rsidRPr="00E13F63">
        <w:rPr>
          <w:rFonts w:ascii="Arial Narrow" w:hAnsi="Arial Narrow" w:cs="Times New Roman"/>
          <w:i/>
        </w:rPr>
        <w:t>access</w:t>
      </w:r>
      <w:proofErr w:type="spellEnd"/>
      <w:r w:rsidRPr="00E13F63">
        <w:rPr>
          <w:rFonts w:ascii="Arial Narrow" w:hAnsi="Arial Narrow" w:cs="Times New Roman"/>
          <w:i/>
        </w:rPr>
        <w:t xml:space="preserve"> publikování.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Zásadní je ovšem uváděný vztah k systému řízení VŠ: „</w:t>
      </w:r>
      <w:r w:rsidRPr="00E13F63">
        <w:rPr>
          <w:rFonts w:ascii="Arial Narrow" w:hAnsi="Arial Narrow" w:cs="Times New Roman"/>
        </w:rPr>
        <w:t>Nezbytnou podmínkou pro nastavení systému řízení školy a jeho kvalitní funkčnost jsou aktualizované, udržované a zabezpečené informační zdroje. Je nutný průběžný monitoring měřitelných výstupů činnosti VŠ a průběžná aktualizace časových řad vybraných ukazatelů.“</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Zaujímají se stanoviska vůči diskutovaným i jinde řešeným otázkám:</w:t>
      </w:r>
      <w:r w:rsidRPr="00E13F63">
        <w:rPr>
          <w:rFonts w:ascii="Arial Narrow" w:hAnsi="Arial Narrow" w:cs="Times New Roman"/>
        </w:rPr>
        <w:t xml:space="preserve"> „Předpokládáme on-line zveřejňování závěrečných prací a vytváření úložišť s učebními oporami.“ </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rPr>
        <w:t>„Chceme řešit problém ukládání výsledků tvůrčí činnosti (i studentské) na velkokapacitních úložištích a jejich dostupnost, včetně ošetření autorských práv.“</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Zaujímají se stanoviska vůči trendům:</w:t>
      </w:r>
      <w:r w:rsidRPr="00E13F63">
        <w:rPr>
          <w:rFonts w:ascii="Arial Narrow" w:hAnsi="Arial Narrow" w:cs="Times New Roman"/>
        </w:rPr>
        <w:t xml:space="preserve"> „Nepředpokládáme masivní vývoj e-</w:t>
      </w:r>
      <w:proofErr w:type="spellStart"/>
      <w:r w:rsidRPr="00E13F63">
        <w:rPr>
          <w:rFonts w:ascii="Arial Narrow" w:hAnsi="Arial Narrow" w:cs="Times New Roman"/>
        </w:rPr>
        <w:t>learningu</w:t>
      </w:r>
      <w:proofErr w:type="spellEnd"/>
      <w:r w:rsidRPr="00E13F63">
        <w:rPr>
          <w:rFonts w:ascii="Arial Narrow" w:hAnsi="Arial Narrow" w:cs="Times New Roman"/>
        </w:rPr>
        <w:t xml:space="preserve"> kromě výuky jazyků a některých specifických předmětů.“ </w:t>
      </w:r>
    </w:p>
    <w:p w:rsidR="00B85C5E" w:rsidRPr="00E13F63" w:rsidRDefault="00B85C5E" w:rsidP="00B85C5E">
      <w:pPr>
        <w:pStyle w:val="Default"/>
        <w:spacing w:before="120" w:line="360" w:lineRule="auto"/>
        <w:jc w:val="both"/>
        <w:rPr>
          <w:rFonts w:ascii="Arial Narrow" w:hAnsi="Arial Narrow" w:cs="Times New Roman"/>
        </w:rPr>
      </w:pPr>
      <w:r w:rsidRPr="00E13F63">
        <w:rPr>
          <w:rFonts w:ascii="Arial Narrow" w:hAnsi="Arial Narrow" w:cs="Times New Roman"/>
          <w:i/>
        </w:rPr>
        <w:t xml:space="preserve">Řeší se i organizační detaily: </w:t>
      </w:r>
      <w:r w:rsidRPr="00E13F63">
        <w:rPr>
          <w:rFonts w:ascii="Arial Narrow" w:hAnsi="Arial Narrow" w:cs="Times New Roman"/>
        </w:rPr>
        <w:t xml:space="preserve">„V současné době došlo k přiřazení fakultních knihoven fakultám, tak aby bylo možno lépe přímo komunikovat potřeby výuky.“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i/>
        </w:rPr>
        <w:t>Nalezneme i proklamativní obecné formulace indikující priority: „</w:t>
      </w:r>
      <w:r w:rsidRPr="00E13F63">
        <w:rPr>
          <w:rFonts w:ascii="Arial Narrow" w:hAnsi="Arial Narrow" w:cs="Times New Roman"/>
        </w:rPr>
        <w:t>Předpokládáme vysokou úroveň, postačující k odbornému rozvoji akademických pracovníků i studentů.“</w:t>
      </w:r>
      <w:r w:rsidRPr="00E13F63">
        <w:rPr>
          <w:rFonts w:ascii="Arial Narrow" w:hAnsi="Arial Narrow" w:cs="Times New Roman"/>
          <w:i/>
        </w:rPr>
        <w:t xml:space="preserve"> Nebo </w:t>
      </w:r>
      <w:r w:rsidRPr="00E13F63">
        <w:rPr>
          <w:rFonts w:ascii="Arial Narrow" w:hAnsi="Arial Narrow" w:cs="Times New Roman"/>
        </w:rPr>
        <w:t>„VŠ bude nadále pečovat o funkčnost a komplexnost studijního informačního systému.“</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Pro budoucí efektivní hospodaření je nutná nejen průběžná údržba a obnova stávajících informačních zdrojů/databází, ale zejména jejich rozvoj pro systematický sběr ekonomických ukazatelů v potřebné šíři.</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 xml:space="preserve">Je vhodné průběžné vylepšování stávajících zdrojů/databází také podle potřeb komunikační a prezentační strategie VŠ. </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lastRenderedPageBreak/>
        <w:t>V danou chvíli jsou k dispozici základní informační zdroje, ale celkově při mezinárodním srovnání je stav konstatován jako spíše nedostatečný. Doporučuje se v horizontu pěti let do této oblasti vložit větší finanční prostředky z centrálních zdrojů. Problematika rovněž úzce souvisí s přístupem k Open Access publikování.</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Nutné průběžné vylepšování stávajících elektronických zdrojů pro výuku, které jsou s ohledem na předchozí projektová období (viz OP VK) považovány za zpracované na dobré úrovni.</w: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drawing>
          <wp:inline distT="0" distB="0" distL="0" distR="0">
            <wp:extent cx="4572000" cy="2619375"/>
            <wp:effectExtent l="19050" t="0" r="19050" b="0"/>
            <wp:docPr id="18" name="Graf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25: X-Y graf pro změny v informačních zdrojích (5 VŠ).</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t>Značně diskutabilní jsou údaje o informačních zdrojích. Především z 5 vybraných VŠ pro ukázku, pouze 3 tyto údaje uvedly. Navíc ovšem uvedená data předpokládají i růsty v násobcích. To lze zřejmě pochopit, pokud to souvisí s odbornou literaturou a jedná se de facto o malé rozpočty. Viz potvrzení tvrzení s ohledem na shluky na obr. 25a. Naopak zařazení SVŠ reprezentuje „náhodnou variabilitu“, která zřetelně oddělené shluky „rozmazává“.</w:t>
      </w:r>
    </w:p>
    <w:p w:rsidR="00B85C5E" w:rsidRPr="00E13F63" w:rsidRDefault="00B85C5E" w:rsidP="00B85C5E">
      <w:pPr>
        <w:jc w:val="center"/>
        <w:rPr>
          <w:rFonts w:ascii="Arial Narrow" w:hAnsi="Arial Narrow" w:cs="Times New Roman"/>
          <w:sz w:val="24"/>
          <w:szCs w:val="24"/>
        </w:rPr>
      </w:pP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lastRenderedPageBreak/>
        <w:drawing>
          <wp:inline distT="0" distB="0" distL="0" distR="0">
            <wp:extent cx="4572000" cy="2743200"/>
            <wp:effectExtent l="19050" t="0" r="19050" b="0"/>
            <wp:docPr id="42" name="Graf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25a: X-Y graf pro změny v informačních zdrojích (VVŠ).</w:t>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noProof/>
          <w:sz w:val="24"/>
          <w:szCs w:val="24"/>
        </w:rPr>
        <w:drawing>
          <wp:inline distT="0" distB="0" distL="0" distR="0">
            <wp:extent cx="4572000" cy="2743200"/>
            <wp:effectExtent l="19050" t="0" r="19050" b="0"/>
            <wp:docPr id="36" name="Graf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B85C5E" w:rsidRPr="00E13F63" w:rsidRDefault="00B85C5E" w:rsidP="00B85C5E">
      <w:pPr>
        <w:jc w:val="center"/>
        <w:rPr>
          <w:rFonts w:ascii="Arial Narrow" w:hAnsi="Arial Narrow" w:cs="Times New Roman"/>
          <w:sz w:val="24"/>
          <w:szCs w:val="24"/>
        </w:rPr>
      </w:pPr>
      <w:r w:rsidRPr="00E13F63">
        <w:rPr>
          <w:rFonts w:ascii="Arial Narrow" w:hAnsi="Arial Narrow" w:cs="Times New Roman"/>
          <w:sz w:val="24"/>
          <w:szCs w:val="24"/>
        </w:rPr>
        <w:t>Obr. 25b: X-Y graf pro změny v informačních zdrojích (VŠ).</w:t>
      </w:r>
    </w:p>
    <w:p w:rsidR="00B85C5E" w:rsidRPr="00E13F63" w:rsidRDefault="00B85C5E" w:rsidP="00B85C5E">
      <w:pPr>
        <w:pStyle w:val="Default"/>
        <w:spacing w:before="120" w:line="360" w:lineRule="auto"/>
        <w:jc w:val="both"/>
        <w:rPr>
          <w:rFonts w:ascii="Arial Narrow" w:hAnsi="Arial Narrow" w:cs="Times New Roman"/>
          <w:b/>
          <w:u w:val="single"/>
        </w:rPr>
      </w:pPr>
      <w:r w:rsidRPr="00E13F63">
        <w:rPr>
          <w:rFonts w:ascii="Arial Narrow" w:hAnsi="Arial Narrow" w:cs="Times New Roman"/>
          <w:b/>
          <w:u w:val="single"/>
        </w:rPr>
        <w:t xml:space="preserve">Využití dalších textových dat: </w:t>
      </w:r>
    </w:p>
    <w:p w:rsidR="00B85C5E" w:rsidRPr="00E13F63" w:rsidRDefault="00B85C5E" w:rsidP="00B85C5E">
      <w:pPr>
        <w:pStyle w:val="Default"/>
        <w:spacing w:before="120" w:line="360" w:lineRule="auto"/>
        <w:jc w:val="both"/>
        <w:rPr>
          <w:rFonts w:ascii="Arial Narrow" w:hAnsi="Arial Narrow" w:cs="Times New Roman"/>
          <w:i/>
        </w:rPr>
      </w:pPr>
      <w:r w:rsidRPr="00E13F63">
        <w:rPr>
          <w:rFonts w:ascii="Arial Narrow" w:hAnsi="Arial Narrow" w:cs="Times New Roman"/>
          <w:b/>
        </w:rPr>
        <w:t>Vybraná metodická doporučení:</w:t>
      </w:r>
      <w:r w:rsidRPr="00E13F63">
        <w:rPr>
          <w:rFonts w:ascii="Arial Narrow" w:hAnsi="Arial Narrow" w:cs="Times New Roman"/>
        </w:rPr>
        <w:t xml:space="preserve"> </w:t>
      </w:r>
      <w:r w:rsidRPr="00E13F63">
        <w:rPr>
          <w:rFonts w:ascii="Arial Narrow" w:hAnsi="Arial Narrow" w:cs="Times New Roman"/>
          <w:i/>
        </w:rPr>
        <w:t>Podstatně striktněji určovat strukturu a formát vyžadovaných dat pro redukci časové náročnosti etapy zpracování primárních dat. Klást rovněž důraz na dodržení požadované struktury.</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hAnsi="Arial Narrow" w:cs="Times New Roman"/>
          <w:b/>
          <w:sz w:val="24"/>
          <w:szCs w:val="24"/>
        </w:rPr>
        <w:lastRenderedPageBreak/>
        <w:t xml:space="preserve">Hodnocení - priority: </w:t>
      </w:r>
      <w:r w:rsidRPr="00E13F63">
        <w:rPr>
          <w:rFonts w:ascii="Arial Narrow" w:hAnsi="Arial Narrow" w:cs="Times New Roman"/>
          <w:i/>
          <w:sz w:val="24"/>
          <w:szCs w:val="24"/>
        </w:rPr>
        <w:t>Menší školy vidí své nedostatky a mají ambice vyjádřené v následujících slovech:</w:t>
      </w:r>
      <w:r w:rsidRPr="00E13F63">
        <w:rPr>
          <w:rFonts w:ascii="Arial Narrow" w:hAnsi="Arial Narrow" w:cs="Times New Roman"/>
          <w:sz w:val="24"/>
          <w:szCs w:val="24"/>
        </w:rPr>
        <w:t xml:space="preserve"> „… jako je relativně nízký počet badatelsky aktivních pedagogů, ani množství studentů (ať v magisterských, ale zejména v doktorských programech) směřujících k vědecké či vědecko-umělecké dráze není dostatečné. Dokud studenti nebudou mít patřičné vzory ve vědecky orientovaných pedagozích, není pravděpodobné, že by se tento stav změnil</w:t>
      </w:r>
      <w:r w:rsidRPr="00E13F63">
        <w:rPr>
          <w:rFonts w:ascii="Arial Narrow" w:hAnsi="Arial Narrow" w:cs="Times New Roman"/>
          <w:i/>
          <w:sz w:val="24"/>
          <w:szCs w:val="24"/>
        </w:rPr>
        <w:t xml:space="preserve">.“ Otázkou je – mají opravdu všechny VŠ mít ve všech oborech ambice jako VŠ, které jsou v ČR považovány za přední v oblasti tvůrčí činnosti? Není tato uniformita ambic důsledkem hodnocení VŠ (agregací ukazatelů), které není skutečně vícekriteriální? </w:t>
      </w:r>
    </w:p>
    <w:p w:rsidR="00B85C5E" w:rsidRPr="00E13F63" w:rsidRDefault="00B85C5E" w:rsidP="00B85C5E">
      <w:pPr>
        <w:spacing w:line="360" w:lineRule="auto"/>
        <w:jc w:val="both"/>
        <w:rPr>
          <w:rFonts w:ascii="Arial Narrow" w:hAnsi="Arial Narrow" w:cs="Times New Roman"/>
          <w:sz w:val="24"/>
          <w:szCs w:val="24"/>
        </w:rPr>
      </w:pPr>
      <w:r w:rsidRPr="00E13F63">
        <w:rPr>
          <w:rFonts w:ascii="Arial Narrow" w:hAnsi="Arial Narrow" w:cs="Times New Roman"/>
          <w:b/>
          <w:sz w:val="24"/>
          <w:szCs w:val="24"/>
        </w:rPr>
        <w:t xml:space="preserve">Kvalita: </w:t>
      </w:r>
      <w:r w:rsidRPr="00E13F63">
        <w:rPr>
          <w:rFonts w:ascii="Arial Narrow" w:hAnsi="Arial Narrow" w:cs="Times New Roman"/>
          <w:i/>
          <w:sz w:val="24"/>
          <w:szCs w:val="24"/>
        </w:rPr>
        <w:t xml:space="preserve">Je konstatováno obdobně následujícímu: </w:t>
      </w:r>
      <w:r w:rsidRPr="00E13F63">
        <w:rPr>
          <w:rFonts w:ascii="Arial Narrow" w:hAnsi="Arial Narrow" w:cs="Times New Roman"/>
          <w:sz w:val="24"/>
          <w:szCs w:val="24"/>
        </w:rPr>
        <w:t xml:space="preserve">„Málo zaměstnanců z řad akademických pracovníků, kteří by se mohli – a chtěli – zabývat formálním systémem hodnocení kvality, z důvodu vlastního přetížení výukou či tvůrčí činností.“ </w:t>
      </w:r>
      <w:r w:rsidRPr="00E13F63">
        <w:rPr>
          <w:rFonts w:ascii="Arial Narrow" w:hAnsi="Arial Narrow" w:cs="Times New Roman"/>
          <w:i/>
          <w:sz w:val="24"/>
          <w:szCs w:val="24"/>
        </w:rPr>
        <w:t>Je zde otázka existence nebo neexistence oddělení řízení kvality na rektorátní nebo fakultní úrovni a jeho náplně činnosti a souvisejících administrativních nároků na akademickou obec.</w:t>
      </w:r>
    </w:p>
    <w:p w:rsidR="00B85C5E" w:rsidRPr="00E13F63" w:rsidRDefault="00B85C5E" w:rsidP="00B85C5E">
      <w:pPr>
        <w:pStyle w:val="Default"/>
        <w:spacing w:before="120" w:line="360" w:lineRule="auto"/>
        <w:jc w:val="both"/>
        <w:rPr>
          <w:rFonts w:ascii="Arial Narrow" w:hAnsi="Arial Narrow" w:cs="Times New Roman"/>
          <w:i/>
          <w:color w:val="auto"/>
        </w:rPr>
      </w:pPr>
      <w:r w:rsidRPr="00E13F63">
        <w:rPr>
          <w:rFonts w:ascii="Arial Narrow" w:hAnsi="Arial Narrow" w:cs="Times New Roman"/>
          <w:i/>
          <w:color w:val="auto"/>
        </w:rPr>
        <w:t>Různí se zkušenosti se zapojováním studentů do hodnocení kvality výuky i fungování školy. Různí se aktivita studentských komor akademických senátů. Lze doporučit sdílení dobrých zkušeností akademických obcí.</w:t>
      </w:r>
    </w:p>
    <w:p w:rsidR="00B85C5E" w:rsidRPr="00E13F63" w:rsidRDefault="00B85C5E" w:rsidP="00B85C5E">
      <w:pPr>
        <w:pStyle w:val="Default"/>
        <w:spacing w:before="120" w:line="360" w:lineRule="auto"/>
        <w:jc w:val="both"/>
        <w:rPr>
          <w:rFonts w:ascii="Arial Narrow" w:hAnsi="Arial Narrow" w:cs="Times New Roman"/>
          <w:i/>
          <w:color w:val="auto"/>
        </w:rPr>
      </w:pPr>
      <w:r w:rsidRPr="00E13F63">
        <w:rPr>
          <w:rFonts w:ascii="Arial Narrow" w:hAnsi="Arial Narrow" w:cs="Times New Roman"/>
          <w:i/>
          <w:color w:val="auto"/>
        </w:rPr>
        <w:t>Financování hodnocení kvality je diskutováno (zda z příspěvku, zda lze využít finanční prostředky z IP) včetně financování ustavení a dlouhodobé udržení pracovních míst.</w:t>
      </w:r>
    </w:p>
    <w:p w:rsidR="00B85C5E" w:rsidRPr="00E13F63" w:rsidRDefault="00B85C5E" w:rsidP="00B85C5E">
      <w:pPr>
        <w:pStyle w:val="Default"/>
        <w:spacing w:before="120" w:line="360" w:lineRule="auto"/>
        <w:jc w:val="both"/>
        <w:rPr>
          <w:rFonts w:ascii="Arial Narrow" w:hAnsi="Arial Narrow" w:cs="Times New Roman"/>
          <w:color w:val="auto"/>
        </w:rPr>
      </w:pPr>
      <w:r w:rsidRPr="00E13F63">
        <w:rPr>
          <w:rFonts w:ascii="Arial Narrow" w:hAnsi="Arial Narrow" w:cs="Times New Roman"/>
          <w:b/>
          <w:color w:val="auto"/>
        </w:rPr>
        <w:t xml:space="preserve"> Administrativa: </w:t>
      </w:r>
      <w:r w:rsidRPr="00E13F63">
        <w:rPr>
          <w:rFonts w:ascii="Arial Narrow" w:hAnsi="Arial Narrow" w:cs="Times New Roman"/>
          <w:i/>
          <w:color w:val="auto"/>
        </w:rPr>
        <w:t>Formulovány požadavky na zkvalitnění práce administrativy</w:t>
      </w:r>
      <w:r w:rsidRPr="00E13F63">
        <w:rPr>
          <w:rFonts w:ascii="Arial Narrow" w:hAnsi="Arial Narrow" w:cs="Times New Roman"/>
          <w:color w:val="auto"/>
        </w:rPr>
        <w:t>: „Nezbytnou podmínkou udržení kvalitní správy školy a úrovně stávajícího hospodaření je stabilizovaný tým hospodářských pracovníků na všech úrovních.“</w:t>
      </w:r>
    </w:p>
    <w:p w:rsidR="00B85C5E" w:rsidRPr="00E13F63" w:rsidRDefault="00B85C5E" w:rsidP="00B85C5E">
      <w:pPr>
        <w:pStyle w:val="Default"/>
        <w:spacing w:before="120" w:line="360" w:lineRule="auto"/>
        <w:jc w:val="both"/>
        <w:rPr>
          <w:rFonts w:ascii="Arial Narrow" w:hAnsi="Arial Narrow" w:cs="Times New Roman"/>
          <w:i/>
          <w:color w:val="auto"/>
        </w:rPr>
      </w:pPr>
      <w:r w:rsidRPr="00E13F63">
        <w:rPr>
          <w:rFonts w:ascii="Arial Narrow" w:hAnsi="Arial Narrow" w:cs="Times New Roman"/>
          <w:i/>
          <w:color w:val="auto"/>
        </w:rPr>
        <w:t xml:space="preserve">Možnost reálného využití prostředků pro (1) zjednodušení administrativy (zejména vnější, ale i vnitřní – viz možnosti hodnocení kvality z pohledu odbourávání zbytné administrativy), (2) pro zkvalitnění praktické odbornosti administrativních pracovníků (aby se zdokonalovali ve skutečných znalostech a skutečně napomáhali akademické obci a ne se jen zdokonalovali v „byrokratické </w:t>
      </w:r>
      <w:proofErr w:type="spellStart"/>
      <w:r w:rsidRPr="00E13F63">
        <w:rPr>
          <w:rFonts w:ascii="Arial Narrow" w:hAnsi="Arial Narrow" w:cs="Times New Roman"/>
          <w:i/>
          <w:color w:val="auto"/>
        </w:rPr>
        <w:t>novořeči</w:t>
      </w:r>
      <w:proofErr w:type="spellEnd"/>
      <w:r w:rsidRPr="00E13F63">
        <w:rPr>
          <w:rFonts w:ascii="Arial Narrow" w:hAnsi="Arial Narrow" w:cs="Times New Roman"/>
          <w:i/>
          <w:color w:val="auto"/>
        </w:rPr>
        <w:t xml:space="preserve">“). Proto je uveden </w:t>
      </w:r>
      <w:r w:rsidRPr="00E13F63">
        <w:rPr>
          <w:rFonts w:ascii="Arial Narrow" w:hAnsi="Arial Narrow" w:cs="Times New Roman"/>
          <w:b/>
          <w:i/>
          <w:color w:val="auto"/>
        </w:rPr>
        <w:t xml:space="preserve">MŠMT </w:t>
      </w:r>
      <w:r w:rsidRPr="00E13F63">
        <w:rPr>
          <w:rFonts w:ascii="Arial Narrow" w:eastAsia="Times New Roman" w:hAnsi="Arial Narrow" w:cs="Times New Roman"/>
          <w:b/>
          <w:i/>
        </w:rPr>
        <w:t>Bod 4:</w:t>
      </w:r>
      <w:r w:rsidRPr="00E13F63">
        <w:rPr>
          <w:rFonts w:ascii="Arial Narrow" w:eastAsia="Times New Roman" w:hAnsi="Arial Narrow" w:cs="Times New Roman"/>
          <w:b/>
        </w:rPr>
        <w:t xml:space="preserve"> </w:t>
      </w:r>
      <w:r w:rsidRPr="00E13F63">
        <w:rPr>
          <w:rFonts w:ascii="Arial Narrow" w:eastAsia="Times New Roman" w:hAnsi="Arial Narrow" w:cs="Times New Roman"/>
        </w:rPr>
        <w:t>Nemrhat aktivitou akademické obce papírováním.</w:t>
      </w:r>
    </w:p>
    <w:p w:rsidR="003B39C0" w:rsidRDefault="00B85C5E" w:rsidP="009F04D7">
      <w:pPr>
        <w:spacing w:line="360" w:lineRule="auto"/>
        <w:jc w:val="both"/>
        <w:rPr>
          <w:rFonts w:ascii="Arial Narrow" w:hAnsi="Arial Narrow" w:cs="Times New Roman"/>
          <w:i/>
          <w:sz w:val="24"/>
          <w:szCs w:val="24"/>
        </w:rPr>
      </w:pPr>
      <w:r w:rsidRPr="00E13F63">
        <w:rPr>
          <w:rFonts w:ascii="Arial Narrow" w:hAnsi="Arial Narrow" w:cs="Times New Roman"/>
          <w:i/>
          <w:sz w:val="24"/>
          <w:szCs w:val="24"/>
        </w:rPr>
        <w:lastRenderedPageBreak/>
        <w:t>Logicky nejsou očekávány zvýšené náklady v oblastech priorit typu „</w:t>
      </w:r>
      <w:r w:rsidRPr="00E13F63">
        <w:rPr>
          <w:rFonts w:ascii="Arial Narrow" w:eastAsia="Times New Roman" w:hAnsi="Arial Narrow" w:cs="Times New Roman"/>
          <w:bCs/>
          <w:i/>
          <w:color w:val="000000"/>
          <w:sz w:val="24"/>
          <w:szCs w:val="24"/>
        </w:rPr>
        <w:t xml:space="preserve">Zodpovědné hospodaření zaměřené na udržitelný rozvoj“. Odhadované kolísání počtů </w:t>
      </w:r>
      <w:r w:rsidRPr="00E13F63">
        <w:rPr>
          <w:rFonts w:ascii="Arial Narrow" w:hAnsi="Arial Narrow" w:cs="Times New Roman"/>
          <w:i/>
          <w:sz w:val="24"/>
          <w:szCs w:val="24"/>
        </w:rPr>
        <w:t xml:space="preserve">studentů (včetně platících) pohybující se v rozmezí plus/minus 10 % by nemělo mít podstatný vliv na náklady. </w:t>
      </w:r>
    </w:p>
    <w:p w:rsidR="00B85C5E" w:rsidRDefault="00B85C5E" w:rsidP="00B93310">
      <w:pPr>
        <w:pStyle w:val="Nadpis1"/>
      </w:pPr>
      <w:bookmarkStart w:id="3" w:name="_Toc424296455"/>
      <w:r w:rsidRPr="00E13F63">
        <w:t>ZÁVĚRY: 10 bodů pro MŠMT z podnětů VŠ:</w:t>
      </w:r>
      <w:bookmarkEnd w:id="3"/>
    </w:p>
    <w:p w:rsidR="00B93310" w:rsidRPr="00B93310" w:rsidRDefault="00B93310" w:rsidP="00B93310"/>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t>Bod 1: Podfinancování VŠ podlamuje konkurenceschopnost ČR</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 xml:space="preserve">Financování </w:t>
      </w:r>
      <w:r w:rsidR="008063BB">
        <w:rPr>
          <w:rFonts w:ascii="Arial Narrow" w:eastAsia="Times New Roman" w:hAnsi="Arial Narrow" w:cs="Times New Roman"/>
          <w:i/>
          <w:sz w:val="24"/>
          <w:szCs w:val="24"/>
        </w:rPr>
        <w:t xml:space="preserve">vzdělávací činnosti </w:t>
      </w:r>
      <w:r w:rsidRPr="00E13F63">
        <w:rPr>
          <w:rFonts w:ascii="Arial Narrow" w:eastAsia="Times New Roman" w:hAnsi="Arial Narrow" w:cs="Times New Roman"/>
          <w:i/>
          <w:sz w:val="24"/>
          <w:szCs w:val="24"/>
        </w:rPr>
        <w:t>vysok</w:t>
      </w:r>
      <w:r w:rsidR="008063BB">
        <w:rPr>
          <w:rFonts w:ascii="Arial Narrow" w:eastAsia="Times New Roman" w:hAnsi="Arial Narrow" w:cs="Times New Roman"/>
          <w:i/>
          <w:sz w:val="24"/>
          <w:szCs w:val="24"/>
        </w:rPr>
        <w:t>ých</w:t>
      </w:r>
      <w:r w:rsidRPr="00E13F63">
        <w:rPr>
          <w:rFonts w:ascii="Arial Narrow" w:eastAsia="Times New Roman" w:hAnsi="Arial Narrow" w:cs="Times New Roman"/>
          <w:i/>
          <w:sz w:val="24"/>
          <w:szCs w:val="24"/>
        </w:rPr>
        <w:t xml:space="preserve"> škol v ČR z veřejných zdrojů je trvale nízké měřeno procentem z HDP (</w:t>
      </w:r>
      <w:r w:rsidR="00A407F5">
        <w:rPr>
          <w:rFonts w:ascii="Arial Narrow" w:eastAsia="Times New Roman" w:hAnsi="Arial Narrow" w:cs="Times New Roman"/>
          <w:i/>
          <w:sz w:val="24"/>
          <w:szCs w:val="24"/>
        </w:rPr>
        <w:t>v roce 2015</w:t>
      </w:r>
      <w:r w:rsidRPr="00E13F63">
        <w:rPr>
          <w:rFonts w:ascii="Arial Narrow" w:eastAsia="Times New Roman" w:hAnsi="Arial Narrow" w:cs="Times New Roman"/>
          <w:i/>
          <w:sz w:val="24"/>
          <w:szCs w:val="24"/>
        </w:rPr>
        <w:t xml:space="preserve"> 0,51 %</w:t>
      </w:r>
      <w:r w:rsidR="0082489E">
        <w:rPr>
          <w:rFonts w:ascii="Arial Narrow" w:eastAsia="Times New Roman" w:hAnsi="Arial Narrow" w:cs="Times New Roman"/>
          <w:i/>
          <w:sz w:val="24"/>
          <w:szCs w:val="24"/>
        </w:rPr>
        <w:t>,</w:t>
      </w:r>
      <w:r w:rsidR="00D64C82" w:rsidRPr="00E13F63">
        <w:rPr>
          <w:rFonts w:ascii="Arial Narrow" w:eastAsia="Times New Roman" w:hAnsi="Arial Narrow" w:cs="Times New Roman"/>
          <w:i/>
          <w:sz w:val="24"/>
          <w:szCs w:val="24"/>
        </w:rPr>
        <w:t xml:space="preserve"> viz např. prezentace na sněmu Rady VŠ vycházející z podkladů ČSÚ a rozpočtu ČR</w:t>
      </w:r>
      <w:r w:rsidRPr="00E13F63">
        <w:rPr>
          <w:rFonts w:ascii="Arial Narrow" w:eastAsia="Times New Roman" w:hAnsi="Arial Narrow" w:cs="Times New Roman"/>
          <w:i/>
          <w:sz w:val="24"/>
          <w:szCs w:val="24"/>
        </w:rPr>
        <w:t>).</w:t>
      </w:r>
      <w:r w:rsidR="00A407F5">
        <w:rPr>
          <w:rFonts w:ascii="Arial Narrow" w:eastAsia="Times New Roman" w:hAnsi="Arial Narrow" w:cs="Times New Roman"/>
          <w:i/>
          <w:sz w:val="24"/>
          <w:szCs w:val="24"/>
        </w:rPr>
        <w:t xml:space="preserve">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Dopady: </w:t>
      </w:r>
      <w:r w:rsidRPr="00E13F63">
        <w:rPr>
          <w:rFonts w:ascii="Arial Narrow" w:eastAsia="Times New Roman" w:hAnsi="Arial Narrow" w:cs="Times New Roman"/>
          <w:i/>
          <w:sz w:val="24"/>
          <w:szCs w:val="24"/>
        </w:rPr>
        <w:t xml:space="preserve">Zaostávání pokračuje přes předchozí proklamace o posilování </w:t>
      </w:r>
      <w:r w:rsidR="0082489E">
        <w:rPr>
          <w:rFonts w:ascii="Arial Narrow" w:eastAsia="Times New Roman" w:hAnsi="Arial Narrow" w:cs="Times New Roman"/>
          <w:i/>
          <w:sz w:val="24"/>
          <w:szCs w:val="24"/>
        </w:rPr>
        <w:t xml:space="preserve">financování </w:t>
      </w:r>
      <w:r w:rsidRPr="00E13F63">
        <w:rPr>
          <w:rFonts w:ascii="Arial Narrow" w:eastAsia="Times New Roman" w:hAnsi="Arial Narrow" w:cs="Times New Roman"/>
          <w:i/>
          <w:sz w:val="24"/>
          <w:szCs w:val="24"/>
        </w:rPr>
        <w:t xml:space="preserve">za mnoha minulých vlád ČR a představuje nyní reálnou překážku pro dosahování jakýchkoliv ambiciózních strategických </w:t>
      </w:r>
      <w:bookmarkStart w:id="4" w:name="_GoBack"/>
      <w:bookmarkEnd w:id="4"/>
      <w:r w:rsidRPr="00E13F63">
        <w:rPr>
          <w:rFonts w:ascii="Arial Narrow" w:eastAsia="Times New Roman" w:hAnsi="Arial Narrow" w:cs="Times New Roman"/>
          <w:i/>
          <w:sz w:val="24"/>
          <w:szCs w:val="24"/>
        </w:rPr>
        <w:t>cílů pro období 2015-2020-2030 založených na představách o úspěšném soutěžení ČR s EU15 a OECD ve vzdělanosti, výkonech a excelenci. Takové cíle jsou pak nedosažitelné.</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konstatování: </w:t>
      </w:r>
      <w:r w:rsidRPr="00E13F63">
        <w:rPr>
          <w:rFonts w:ascii="Arial Narrow" w:eastAsia="Times New Roman" w:hAnsi="Arial Narrow" w:cs="Times New Roman"/>
          <w:i/>
          <w:sz w:val="24"/>
          <w:szCs w:val="24"/>
        </w:rPr>
        <w:t>Konstatování je v akademické obci vysokých škol i na MŠMT známé, bohužel není obecně přijímáno šířeji v ČR. Zmíněné dopady sice nejsou takto explicitně a systematicky uváděny v poznatcích VŠ o bilancích zdrojů, ale nepřímo plynou z odkazů na potřebnost projektových a doplňujících zdrojů pro realizaci cílů, pro které se s institucionálními prostředky nepočítá. Dále se dopady promítají do realističtějšího stanovování některých cílů.</w:t>
      </w:r>
      <w:r w:rsidR="00A407F5">
        <w:rPr>
          <w:rFonts w:ascii="Arial Narrow" w:eastAsia="Times New Roman" w:hAnsi="Arial Narrow" w:cs="Times New Roman"/>
          <w:i/>
          <w:sz w:val="24"/>
          <w:szCs w:val="24"/>
        </w:rPr>
        <w:t xml:space="preserve"> </w:t>
      </w:r>
      <w:r w:rsidR="00A407F5">
        <w:rPr>
          <w:rFonts w:ascii="Arial Narrow" w:eastAsia="Times New Roman" w:hAnsi="Arial Narrow" w:cs="Times New Roman"/>
          <w:i/>
          <w:sz w:val="24"/>
          <w:szCs w:val="24"/>
        </w:rPr>
        <w:t xml:space="preserve">Porovnáme-li </w:t>
      </w:r>
      <w:r w:rsidR="00A407F5">
        <w:rPr>
          <w:rFonts w:ascii="Arial Narrow" w:eastAsia="Times New Roman" w:hAnsi="Arial Narrow" w:cs="Times New Roman"/>
          <w:i/>
          <w:sz w:val="24"/>
          <w:szCs w:val="24"/>
        </w:rPr>
        <w:t xml:space="preserve">nicméně </w:t>
      </w:r>
      <w:r w:rsidR="00A407F5">
        <w:rPr>
          <w:rFonts w:ascii="Arial Narrow" w:eastAsia="Times New Roman" w:hAnsi="Arial Narrow" w:cs="Times New Roman"/>
          <w:i/>
          <w:sz w:val="24"/>
          <w:szCs w:val="24"/>
        </w:rPr>
        <w:t xml:space="preserve">podíl výdajů na terciární vzdělávání dle klasifikace COFOG na základě údajů </w:t>
      </w:r>
      <w:proofErr w:type="spellStart"/>
      <w:r w:rsidR="00A407F5">
        <w:rPr>
          <w:rFonts w:ascii="Arial Narrow" w:eastAsia="Times New Roman" w:hAnsi="Arial Narrow" w:cs="Times New Roman"/>
          <w:i/>
          <w:sz w:val="24"/>
          <w:szCs w:val="24"/>
        </w:rPr>
        <w:t>EUROSTATu</w:t>
      </w:r>
      <w:proofErr w:type="spellEnd"/>
      <w:r w:rsidR="00A407F5">
        <w:rPr>
          <w:rFonts w:ascii="Arial Narrow" w:eastAsia="Times New Roman" w:hAnsi="Arial Narrow" w:cs="Times New Roman"/>
          <w:i/>
          <w:sz w:val="24"/>
          <w:szCs w:val="24"/>
        </w:rPr>
        <w:t xml:space="preserve"> za rok 2013 (tj</w:t>
      </w:r>
      <w:r w:rsidR="00A407F5">
        <w:rPr>
          <w:rFonts w:ascii="Arial Narrow" w:eastAsia="Times New Roman" w:hAnsi="Arial Narrow" w:cs="Times New Roman"/>
          <w:i/>
          <w:sz w:val="24"/>
          <w:szCs w:val="24"/>
        </w:rPr>
        <w:t>. za rok, kdy jsou naposledy dostupná data), zjistíme, že podíl výdajů na terciární vzdělávání (COFOG 09.4) ve vztahu k HDP činil v ČR 0,6 %, zatímco v EU-28 0,8 %.</w:t>
      </w:r>
    </w:p>
    <w:p w:rsidR="00B85C5E" w:rsidRPr="00E13F63" w:rsidRDefault="00B85C5E" w:rsidP="00B85C5E">
      <w:pPr>
        <w:spacing w:line="360" w:lineRule="auto"/>
        <w:jc w:val="both"/>
        <w:rPr>
          <w:rFonts w:ascii="Arial Narrow" w:hAnsi="Arial Narrow" w:cs="Times New Roman"/>
          <w:i/>
          <w:sz w:val="24"/>
          <w:szCs w:val="24"/>
        </w:rPr>
      </w:pPr>
      <w:r w:rsidRPr="00E13F63">
        <w:rPr>
          <w:rFonts w:ascii="Arial Narrow" w:eastAsia="Times New Roman" w:hAnsi="Arial Narrow" w:cs="Times New Roman"/>
          <w:b/>
          <w:sz w:val="24"/>
          <w:szCs w:val="24"/>
        </w:rPr>
        <w:t xml:space="preserve">Možná řešení: </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 xml:space="preserve">Zprvu pomůže pravidelné uvádění této skutečnosti a jejích dopadů i pro veřejnost, tj. informování o dlouhodobém zaostávání financování VŠ podle uvedeného ukazatele a z toho vyplývající budoucí nekonkurenceschopnost ČR (nikoliv jednotlivců a jednotlivých firem, ale ČR jako celku). Výše výdajů na vysoké školství vyjádřená jako procentní podíl HDP je přitom mezinárodně plně srovnatelným statistickým ukazatelem a s využitím tohoto ukazatele lze dovodit, že ČR ve srovnání s uvedenými zeměmi vysoké školství zanedbává a preferuje jiné oblasti veřejných výdajů, a to ať už se o vysokých školách a jejich úloze ve zvyšování konkurenceschopnosti hovoří v politických proklamacích jakkoliv kladně. Optimistické řešení spočívá v úspěchu úsilí o postupné  posilování proporce veřejného </w:t>
      </w:r>
      <w:r w:rsidRPr="00E13F63">
        <w:rPr>
          <w:rFonts w:ascii="Arial Narrow" w:eastAsia="Times New Roman" w:hAnsi="Arial Narrow" w:cs="Times New Roman"/>
          <w:i/>
          <w:sz w:val="24"/>
          <w:szCs w:val="24"/>
        </w:rPr>
        <w:lastRenderedPageBreak/>
        <w:t>financování VŠ na HDP srovnatelně se zeměmi EU15 a OECD. Pesimistické řešení spočívá ve veřejném  přiznání si zaostávání (třeba to veřejnost unese) a stanovení cílů tak, aby odpovídaly finančním možnostem („vzdělanostní společnost v ČR vzkvétat nebude a ČR konkurenceschopná již nebude“). Realistické řešení spočívá mimo jiné v tom, že existující demografický pokles nebude promítán do dalšího snížení uvedeného podílu (0,51 %)</w:t>
      </w:r>
      <w:r w:rsidR="00AF48D7">
        <w:rPr>
          <w:rFonts w:ascii="Arial Narrow" w:eastAsia="Times New Roman" w:hAnsi="Arial Narrow" w:cs="Times New Roman"/>
          <w:i/>
          <w:sz w:val="24"/>
          <w:szCs w:val="24"/>
        </w:rPr>
        <w:t>,</w:t>
      </w:r>
      <w:r w:rsidRPr="00E13F63">
        <w:rPr>
          <w:rFonts w:ascii="Arial Narrow" w:eastAsia="Times New Roman" w:hAnsi="Arial Narrow" w:cs="Times New Roman"/>
          <w:i/>
          <w:sz w:val="24"/>
          <w:szCs w:val="24"/>
        </w:rPr>
        <w:t xml:space="preserve"> a dojde tak k relativnímu navýšení dosud nízkého normativu na studenta. Dále je nutné financování z projektů </w:t>
      </w:r>
      <w:r w:rsidRPr="00E13F63">
        <w:rPr>
          <w:rFonts w:ascii="Arial Narrow" w:hAnsi="Arial Narrow" w:cs="Times New Roman"/>
          <w:i/>
          <w:sz w:val="24"/>
          <w:szCs w:val="24"/>
        </w:rPr>
        <w:t>OP VVV, které by zohlednilo strategické priority MŠMT v souladu s prioritami VŠ. To se jeví jako nutné, protože při existujícím institucionálním financování VŠ se splnění cílů v rámci priorit jeví jako nereálné.</w:t>
      </w:r>
    </w:p>
    <w:p w:rsidR="00D64C82" w:rsidRPr="00E13F63" w:rsidRDefault="00D64C82" w:rsidP="00B85C5E">
      <w:pPr>
        <w:spacing w:line="360" w:lineRule="auto"/>
        <w:jc w:val="both"/>
        <w:rPr>
          <w:rFonts w:ascii="Arial Narrow" w:hAnsi="Arial Narrow" w:cs="Times New Roman"/>
          <w:i/>
          <w:sz w:val="24"/>
          <w:szCs w:val="24"/>
        </w:rPr>
      </w:pPr>
      <w:r w:rsidRPr="00E13F63">
        <w:rPr>
          <w:rFonts w:ascii="Arial Narrow" w:hAnsi="Arial Narrow" w:cs="Times New Roman"/>
          <w:b/>
          <w:sz w:val="24"/>
          <w:szCs w:val="24"/>
        </w:rPr>
        <w:t xml:space="preserve">Doplnění: </w:t>
      </w:r>
      <w:r w:rsidRPr="00E13F63">
        <w:rPr>
          <w:rFonts w:ascii="Arial Narrow" w:hAnsi="Arial Narrow" w:cs="Times New Roman"/>
          <w:i/>
          <w:sz w:val="24"/>
          <w:szCs w:val="24"/>
        </w:rPr>
        <w:t>Na základě podrobné disku</w:t>
      </w:r>
      <w:r w:rsidR="00AF48D7">
        <w:rPr>
          <w:rFonts w:ascii="Arial Narrow" w:hAnsi="Arial Narrow" w:cs="Times New Roman"/>
          <w:i/>
          <w:sz w:val="24"/>
          <w:szCs w:val="24"/>
        </w:rPr>
        <w:t>z</w:t>
      </w:r>
      <w:r w:rsidRPr="00E13F63">
        <w:rPr>
          <w:rFonts w:ascii="Arial Narrow" w:hAnsi="Arial Narrow" w:cs="Times New Roman"/>
          <w:i/>
          <w:sz w:val="24"/>
          <w:szCs w:val="24"/>
        </w:rPr>
        <w:t xml:space="preserve">e při projednávání tohoto textu je </w:t>
      </w:r>
      <w:r w:rsidR="0082489E">
        <w:rPr>
          <w:rFonts w:ascii="Arial Narrow" w:hAnsi="Arial Narrow" w:cs="Times New Roman"/>
          <w:i/>
          <w:sz w:val="24"/>
          <w:szCs w:val="24"/>
        </w:rPr>
        <w:t>upravena</w:t>
      </w:r>
      <w:r w:rsidRPr="00E13F63">
        <w:rPr>
          <w:rFonts w:ascii="Arial Narrow" w:hAnsi="Arial Narrow" w:cs="Times New Roman"/>
          <w:i/>
          <w:sz w:val="24"/>
          <w:szCs w:val="24"/>
        </w:rPr>
        <w:t xml:space="preserve"> původní formulace</w:t>
      </w:r>
      <w:r w:rsidR="00A407F5">
        <w:rPr>
          <w:rFonts w:ascii="Arial Narrow" w:hAnsi="Arial Narrow" w:cs="Times New Roman"/>
          <w:i/>
          <w:sz w:val="24"/>
          <w:szCs w:val="24"/>
        </w:rPr>
        <w:t xml:space="preserve">, </w:t>
      </w:r>
      <w:r w:rsidRPr="00E13F63">
        <w:rPr>
          <w:rFonts w:ascii="Arial Narrow" w:hAnsi="Arial Narrow" w:cs="Times New Roman"/>
          <w:i/>
          <w:sz w:val="24"/>
          <w:szCs w:val="24"/>
        </w:rPr>
        <w:t>je odkázáno na velmi precizně a podrobně zpracovaný komentář k tomuto materiálu z K04</w:t>
      </w:r>
      <w:r w:rsidR="00A407F5">
        <w:rPr>
          <w:rFonts w:ascii="Arial Narrow" w:hAnsi="Arial Narrow" w:cs="Times New Roman"/>
          <w:i/>
          <w:sz w:val="24"/>
          <w:szCs w:val="24"/>
        </w:rPr>
        <w:t xml:space="preserve"> a výše je doplněn odkaz na údaje </w:t>
      </w:r>
      <w:proofErr w:type="spellStart"/>
      <w:r w:rsidR="00A407F5">
        <w:rPr>
          <w:rFonts w:ascii="Arial Narrow" w:hAnsi="Arial Narrow" w:cs="Times New Roman"/>
          <w:i/>
          <w:sz w:val="24"/>
          <w:szCs w:val="24"/>
        </w:rPr>
        <w:t>Eurostatu</w:t>
      </w:r>
      <w:proofErr w:type="spellEnd"/>
      <w:r w:rsidR="00A407F5">
        <w:rPr>
          <w:rFonts w:ascii="Arial Narrow" w:hAnsi="Arial Narrow" w:cs="Times New Roman"/>
          <w:i/>
          <w:sz w:val="24"/>
          <w:szCs w:val="24"/>
        </w:rPr>
        <w:t xml:space="preserve"> dle klasifikace COFOG. </w:t>
      </w:r>
      <w:r w:rsidRPr="00E13F63">
        <w:rPr>
          <w:rFonts w:ascii="Arial Narrow" w:hAnsi="Arial Narrow" w:cs="Times New Roman"/>
          <w:i/>
          <w:sz w:val="24"/>
          <w:szCs w:val="24"/>
        </w:rPr>
        <w:t>Podstatné je, že zúčastnění se shodují na doporučení z K04, cituji:</w:t>
      </w:r>
    </w:p>
    <w:p w:rsidR="009606CD" w:rsidRPr="00E13F63" w:rsidRDefault="009606CD" w:rsidP="009606CD">
      <w:pPr>
        <w:spacing w:after="240"/>
        <w:jc w:val="both"/>
        <w:rPr>
          <w:rFonts w:ascii="Arial Narrow" w:hAnsi="Arial Narrow" w:cs="Times New Roman"/>
          <w:sz w:val="24"/>
          <w:szCs w:val="24"/>
        </w:rPr>
      </w:pPr>
      <w:r w:rsidRPr="00E13F63">
        <w:rPr>
          <w:rFonts w:ascii="Arial Narrow" w:hAnsi="Arial Narrow" w:cs="Times New Roman"/>
          <w:b/>
          <w:sz w:val="24"/>
          <w:szCs w:val="24"/>
        </w:rPr>
        <w:t>Doplňující doporučení:</w:t>
      </w:r>
      <w:r w:rsidR="00AF48D7">
        <w:rPr>
          <w:rFonts w:ascii="Arial Narrow" w:hAnsi="Arial Narrow" w:cs="Times New Roman"/>
          <w:sz w:val="24"/>
          <w:szCs w:val="24"/>
        </w:rPr>
        <w:t xml:space="preserve"> </w:t>
      </w:r>
      <w:r w:rsidRPr="00E13F63">
        <w:rPr>
          <w:rFonts w:ascii="Arial Narrow" w:hAnsi="Arial Narrow" w:cs="Times New Roman"/>
          <w:sz w:val="24"/>
          <w:szCs w:val="24"/>
        </w:rPr>
        <w:t xml:space="preserve">Mnohé nejasnosti by v této věci odpadly, kdyby při sestavování rozpočtu vysokých škol byla na MŠMT zpracována i stručná předkládací či komentující zpráva, která by mimo jiné srovnávala vývoj klíčových parametrů celého systému v delším časovém úseku. Předmětem srovnání by měly být nejen ukazatele za ČR, ale </w:t>
      </w:r>
      <w:r w:rsidR="00AF48D7">
        <w:rPr>
          <w:rFonts w:ascii="Arial Narrow" w:hAnsi="Arial Narrow" w:cs="Times New Roman"/>
          <w:sz w:val="24"/>
          <w:szCs w:val="24"/>
        </w:rPr>
        <w:t xml:space="preserve">i </w:t>
      </w:r>
      <w:r w:rsidRPr="00E13F63">
        <w:rPr>
          <w:rFonts w:ascii="Arial Narrow" w:hAnsi="Arial Narrow" w:cs="Times New Roman"/>
          <w:sz w:val="24"/>
          <w:szCs w:val="24"/>
        </w:rPr>
        <w:t>za další země OECD</w:t>
      </w:r>
      <w:r w:rsidR="0082489E">
        <w:rPr>
          <w:rFonts w:ascii="Arial Narrow" w:hAnsi="Arial Narrow" w:cs="Times New Roman"/>
          <w:sz w:val="24"/>
          <w:szCs w:val="24"/>
        </w:rPr>
        <w:t xml:space="preserve"> a EU</w:t>
      </w:r>
      <w:r w:rsidRPr="00E13F63">
        <w:rPr>
          <w:rFonts w:ascii="Arial Narrow" w:hAnsi="Arial Narrow" w:cs="Times New Roman"/>
          <w:sz w:val="24"/>
          <w:szCs w:val="24"/>
        </w:rPr>
        <w:t>, a to vždy na základě datové základny se společnými metodologickými postupy. Nutná je zároveň koordinace s osobami, které poskytují za ČR data OECD pro zpracování analýz typu Education at a Glance.“</w:t>
      </w:r>
    </w:p>
    <w:p w:rsidR="009606CD" w:rsidRPr="00E13F63" w:rsidRDefault="00A407F5" w:rsidP="009606CD">
      <w:pPr>
        <w:spacing w:after="240"/>
        <w:jc w:val="both"/>
        <w:rPr>
          <w:rFonts w:ascii="Arial Narrow" w:hAnsi="Arial Narrow" w:cs="Times New Roman"/>
          <w:i/>
          <w:sz w:val="24"/>
          <w:szCs w:val="24"/>
        </w:rPr>
      </w:pPr>
      <w:r>
        <w:rPr>
          <w:rFonts w:ascii="Arial Narrow" w:hAnsi="Arial Narrow" w:cs="Times New Roman"/>
          <w:i/>
          <w:sz w:val="24"/>
          <w:szCs w:val="24"/>
        </w:rPr>
        <w:t xml:space="preserve">Srovnání přitom můžeme provádět nejen v prostoru (tj. s ostatními zeměmi či se skupinami zemí), ale v čase, čemuž byla věnována část jednání jarního Sněmu Rady vysokých škol. Podstatné závěry, Sněmem </w:t>
      </w:r>
      <w:r w:rsidR="00CB4551">
        <w:rPr>
          <w:rFonts w:ascii="Arial Narrow" w:hAnsi="Arial Narrow" w:cs="Times New Roman"/>
          <w:i/>
          <w:sz w:val="24"/>
          <w:szCs w:val="24"/>
        </w:rPr>
        <w:t xml:space="preserve">RVŠ </w:t>
      </w:r>
      <w:r>
        <w:rPr>
          <w:rFonts w:ascii="Arial Narrow" w:hAnsi="Arial Narrow" w:cs="Times New Roman"/>
          <w:i/>
          <w:sz w:val="24"/>
          <w:szCs w:val="24"/>
        </w:rPr>
        <w:t>přijaté, zde uvádíme.</w:t>
      </w:r>
    </w:p>
    <w:p w:rsidR="009606CD" w:rsidRPr="00E13F63" w:rsidRDefault="002A4EC2" w:rsidP="009606CD">
      <w:pPr>
        <w:spacing w:after="240"/>
        <w:jc w:val="both"/>
        <w:rPr>
          <w:rFonts w:ascii="Arial Narrow" w:hAnsi="Arial Narrow" w:cs="Times New Roman"/>
          <w:i/>
          <w:sz w:val="24"/>
          <w:szCs w:val="24"/>
        </w:rPr>
      </w:pPr>
      <w:r w:rsidRPr="00E13F63">
        <w:rPr>
          <w:rFonts w:ascii="Arial Narrow" w:hAnsi="Arial Narrow" w:cs="Times New Roman"/>
          <w:i/>
          <w:noProof/>
          <w:sz w:val="24"/>
          <w:szCs w:val="24"/>
        </w:rPr>
        <w:lastRenderedPageBreak/>
        <w:drawing>
          <wp:inline distT="0" distB="0" distL="0" distR="0">
            <wp:extent cx="5756717" cy="2696902"/>
            <wp:effectExtent l="19050" t="0" r="0" b="0"/>
            <wp:docPr id="8" name="Obrázek 6" descr="ob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1.png"/>
                    <pic:cNvPicPr/>
                  </pic:nvPicPr>
                  <pic:blipFill>
                    <a:blip r:embed="rId63" cstate="print"/>
                    <a:stretch>
                      <a:fillRect/>
                    </a:stretch>
                  </pic:blipFill>
                  <pic:spPr>
                    <a:xfrm>
                      <a:off x="0" y="0"/>
                      <a:ext cx="5760720" cy="2698777"/>
                    </a:xfrm>
                    <a:prstGeom prst="rect">
                      <a:avLst/>
                    </a:prstGeom>
                  </pic:spPr>
                </pic:pic>
              </a:graphicData>
            </a:graphic>
          </wp:inline>
        </w:drawing>
      </w:r>
    </w:p>
    <w:p w:rsidR="002A4EC2" w:rsidRPr="00E13F63" w:rsidRDefault="002A4EC2" w:rsidP="009606CD">
      <w:pPr>
        <w:spacing w:after="240"/>
        <w:jc w:val="both"/>
        <w:rPr>
          <w:rFonts w:ascii="Arial Narrow" w:hAnsi="Arial Narrow" w:cs="Times New Roman"/>
          <w:i/>
          <w:sz w:val="24"/>
          <w:szCs w:val="24"/>
        </w:rPr>
      </w:pPr>
    </w:p>
    <w:p w:rsidR="006C53FF" w:rsidRPr="00E13F63" w:rsidRDefault="006C53FF" w:rsidP="009606CD">
      <w:pPr>
        <w:spacing w:after="240"/>
        <w:jc w:val="both"/>
        <w:rPr>
          <w:rFonts w:ascii="Arial Narrow" w:hAnsi="Arial Narrow" w:cs="Times New Roman"/>
          <w:i/>
          <w:sz w:val="24"/>
          <w:szCs w:val="24"/>
        </w:rPr>
      </w:pPr>
    </w:p>
    <w:p w:rsidR="002A4EC2" w:rsidRPr="00E13F63" w:rsidRDefault="002A4EC2" w:rsidP="009606CD">
      <w:pPr>
        <w:spacing w:after="240"/>
        <w:jc w:val="both"/>
        <w:rPr>
          <w:rFonts w:ascii="Arial Narrow" w:hAnsi="Arial Narrow" w:cs="Times New Roman"/>
          <w:i/>
          <w:sz w:val="24"/>
          <w:szCs w:val="24"/>
        </w:rPr>
      </w:pPr>
      <w:r w:rsidRPr="00E13F63">
        <w:rPr>
          <w:rFonts w:ascii="Arial Narrow" w:hAnsi="Arial Narrow" w:cs="Times New Roman"/>
          <w:i/>
          <w:noProof/>
          <w:sz w:val="24"/>
          <w:szCs w:val="24"/>
        </w:rPr>
        <w:drawing>
          <wp:inline distT="0" distB="0" distL="0" distR="0">
            <wp:extent cx="5760720" cy="3843655"/>
            <wp:effectExtent l="19050" t="0" r="0" b="0"/>
            <wp:docPr id="13" name="Obrázek 12" descr="ob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2.png"/>
                    <pic:cNvPicPr/>
                  </pic:nvPicPr>
                  <pic:blipFill>
                    <a:blip r:embed="rId64" cstate="print"/>
                    <a:stretch>
                      <a:fillRect/>
                    </a:stretch>
                  </pic:blipFill>
                  <pic:spPr>
                    <a:xfrm>
                      <a:off x="0" y="0"/>
                      <a:ext cx="5760720" cy="3843655"/>
                    </a:xfrm>
                    <a:prstGeom prst="rect">
                      <a:avLst/>
                    </a:prstGeom>
                  </pic:spPr>
                </pic:pic>
              </a:graphicData>
            </a:graphic>
          </wp:inline>
        </w:drawing>
      </w:r>
    </w:p>
    <w:p w:rsidR="006C53FF" w:rsidRPr="00E13F63" w:rsidRDefault="006C53FF" w:rsidP="009606CD">
      <w:pPr>
        <w:spacing w:after="240"/>
        <w:jc w:val="both"/>
        <w:rPr>
          <w:rFonts w:ascii="Arial Narrow" w:hAnsi="Arial Narrow" w:cs="Times New Roman"/>
          <w:i/>
          <w:sz w:val="24"/>
          <w:szCs w:val="24"/>
        </w:rPr>
      </w:pPr>
      <w:r w:rsidRPr="00E13F63">
        <w:rPr>
          <w:rFonts w:ascii="Arial Narrow" w:hAnsi="Arial Narrow" w:cs="Times New Roman"/>
          <w:i/>
          <w:noProof/>
          <w:sz w:val="24"/>
          <w:szCs w:val="24"/>
        </w:rPr>
        <w:lastRenderedPageBreak/>
        <w:drawing>
          <wp:inline distT="0" distB="0" distL="0" distR="0">
            <wp:extent cx="5756717" cy="3703899"/>
            <wp:effectExtent l="19050" t="0" r="0" b="0"/>
            <wp:docPr id="17" name="Obrázek 16" descr="ob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3.png"/>
                    <pic:cNvPicPr/>
                  </pic:nvPicPr>
                  <pic:blipFill>
                    <a:blip r:embed="rId65" cstate="print"/>
                    <a:stretch>
                      <a:fillRect/>
                    </a:stretch>
                  </pic:blipFill>
                  <pic:spPr>
                    <a:xfrm>
                      <a:off x="0" y="0"/>
                      <a:ext cx="5760720" cy="3706475"/>
                    </a:xfrm>
                    <a:prstGeom prst="rect">
                      <a:avLst/>
                    </a:prstGeom>
                  </pic:spPr>
                </pic:pic>
              </a:graphicData>
            </a:graphic>
          </wp:inline>
        </w:drawing>
      </w:r>
    </w:p>
    <w:p w:rsidR="006C53FF" w:rsidRPr="00E13F63" w:rsidRDefault="006C53FF" w:rsidP="009606CD">
      <w:pPr>
        <w:spacing w:after="240"/>
        <w:jc w:val="both"/>
        <w:rPr>
          <w:rFonts w:ascii="Arial Narrow" w:hAnsi="Arial Narrow" w:cs="Times New Roman"/>
          <w:i/>
          <w:sz w:val="24"/>
          <w:szCs w:val="24"/>
        </w:rPr>
      </w:pPr>
      <w:r w:rsidRPr="00E13F63">
        <w:rPr>
          <w:rFonts w:ascii="Arial Narrow" w:hAnsi="Arial Narrow" w:cs="Times New Roman"/>
          <w:i/>
          <w:noProof/>
          <w:sz w:val="24"/>
          <w:szCs w:val="24"/>
        </w:rPr>
        <w:drawing>
          <wp:inline distT="0" distB="0" distL="0" distR="0">
            <wp:extent cx="5756717" cy="3449256"/>
            <wp:effectExtent l="19050" t="0" r="0" b="0"/>
            <wp:docPr id="19" name="Obrázek 18" descr="ob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4.png"/>
                    <pic:cNvPicPr/>
                  </pic:nvPicPr>
                  <pic:blipFill>
                    <a:blip r:embed="rId66" cstate="print"/>
                    <a:stretch>
                      <a:fillRect/>
                    </a:stretch>
                  </pic:blipFill>
                  <pic:spPr>
                    <a:xfrm>
                      <a:off x="0" y="0"/>
                      <a:ext cx="5760720" cy="3451654"/>
                    </a:xfrm>
                    <a:prstGeom prst="rect">
                      <a:avLst/>
                    </a:prstGeom>
                  </pic:spPr>
                </pic:pic>
              </a:graphicData>
            </a:graphic>
          </wp:inline>
        </w:drawing>
      </w:r>
    </w:p>
    <w:p w:rsidR="006C53FF" w:rsidRPr="00E13F63" w:rsidRDefault="006C53FF" w:rsidP="009606CD">
      <w:pPr>
        <w:spacing w:after="240"/>
        <w:jc w:val="both"/>
        <w:rPr>
          <w:rFonts w:ascii="Arial Narrow" w:hAnsi="Arial Narrow" w:cs="Times New Roman"/>
          <w:i/>
          <w:sz w:val="24"/>
          <w:szCs w:val="24"/>
        </w:rPr>
      </w:pPr>
    </w:p>
    <w:p w:rsidR="006C53FF" w:rsidRPr="00CB4551" w:rsidRDefault="009606CD" w:rsidP="00CB4551">
      <w:pPr>
        <w:spacing w:after="240"/>
        <w:jc w:val="both"/>
        <w:rPr>
          <w:rFonts w:ascii="Arial Narrow" w:hAnsi="Arial Narrow" w:cs="Times New Roman"/>
          <w:i/>
          <w:sz w:val="24"/>
          <w:szCs w:val="24"/>
        </w:rPr>
      </w:pPr>
      <w:r w:rsidRPr="00E13F63">
        <w:rPr>
          <w:rFonts w:ascii="Arial Narrow" w:hAnsi="Arial Narrow" w:cs="Times New Roman"/>
          <w:i/>
          <w:sz w:val="24"/>
          <w:szCs w:val="24"/>
        </w:rPr>
        <w:lastRenderedPageBreak/>
        <w:t xml:space="preserve">Dále </w:t>
      </w:r>
      <w:r w:rsidR="00AA32A6" w:rsidRPr="00E13F63">
        <w:rPr>
          <w:rFonts w:ascii="Arial Narrow" w:hAnsi="Arial Narrow" w:cs="Times New Roman"/>
          <w:i/>
          <w:sz w:val="24"/>
          <w:szCs w:val="24"/>
        </w:rPr>
        <w:t xml:space="preserve">postřehy v bodě 1 </w:t>
      </w:r>
      <w:r w:rsidRPr="00E13F63">
        <w:rPr>
          <w:rFonts w:ascii="Arial Narrow" w:hAnsi="Arial Narrow" w:cs="Times New Roman"/>
          <w:i/>
          <w:sz w:val="24"/>
          <w:szCs w:val="24"/>
        </w:rPr>
        <w:t>vycház</w:t>
      </w:r>
      <w:r w:rsidR="00AA32A6" w:rsidRPr="00E13F63">
        <w:rPr>
          <w:rFonts w:ascii="Arial Narrow" w:hAnsi="Arial Narrow" w:cs="Times New Roman"/>
          <w:i/>
          <w:sz w:val="24"/>
          <w:szCs w:val="24"/>
        </w:rPr>
        <w:t>ely</w:t>
      </w:r>
      <w:r w:rsidRPr="00E13F63">
        <w:rPr>
          <w:rFonts w:ascii="Arial Narrow" w:hAnsi="Arial Narrow" w:cs="Times New Roman"/>
          <w:i/>
          <w:sz w:val="24"/>
          <w:szCs w:val="24"/>
        </w:rPr>
        <w:t xml:space="preserve"> ze sdělení a údajů VŠ, tj. </w:t>
      </w:r>
      <w:r w:rsidR="00AA32A6" w:rsidRPr="00E13F63">
        <w:rPr>
          <w:rFonts w:ascii="Arial Narrow" w:hAnsi="Arial Narrow" w:cs="Times New Roman"/>
          <w:i/>
          <w:sz w:val="24"/>
          <w:szCs w:val="24"/>
        </w:rPr>
        <w:t>„</w:t>
      </w:r>
      <w:r w:rsidRPr="00E13F63">
        <w:rPr>
          <w:rFonts w:ascii="Arial Narrow" w:hAnsi="Arial Narrow" w:cs="Times New Roman"/>
          <w:i/>
          <w:sz w:val="24"/>
          <w:szCs w:val="24"/>
        </w:rPr>
        <w:t>vnímání podfinancování“</w:t>
      </w:r>
      <w:r w:rsidR="00410CAC">
        <w:rPr>
          <w:rFonts w:ascii="Arial Narrow" w:hAnsi="Arial Narrow" w:cs="Times New Roman"/>
          <w:i/>
          <w:sz w:val="24"/>
          <w:szCs w:val="24"/>
        </w:rPr>
        <w:t xml:space="preserve"> </w:t>
      </w:r>
      <w:r w:rsidR="00AA32A6" w:rsidRPr="00E13F63">
        <w:rPr>
          <w:rFonts w:ascii="Arial Narrow" w:hAnsi="Arial Narrow" w:cs="Times New Roman"/>
          <w:i/>
          <w:sz w:val="24"/>
          <w:szCs w:val="24"/>
        </w:rPr>
        <w:t xml:space="preserve">(viz K04 formulace) </w:t>
      </w:r>
      <w:r w:rsidR="002A4EC2" w:rsidRPr="00E13F63">
        <w:rPr>
          <w:rFonts w:ascii="Arial Narrow" w:hAnsi="Arial Narrow" w:cs="Times New Roman"/>
          <w:i/>
          <w:sz w:val="24"/>
          <w:szCs w:val="24"/>
        </w:rPr>
        <w:t>ze stran</w:t>
      </w:r>
      <w:r w:rsidRPr="00E13F63">
        <w:rPr>
          <w:rFonts w:ascii="Arial Narrow" w:hAnsi="Arial Narrow" w:cs="Times New Roman"/>
          <w:i/>
          <w:sz w:val="24"/>
          <w:szCs w:val="24"/>
        </w:rPr>
        <w:t xml:space="preserve">y VŠ, a to i s ohledem na zprostředkování širokých osobních zkušeností </w:t>
      </w:r>
      <w:r w:rsidR="00AA32A6" w:rsidRPr="00E13F63">
        <w:rPr>
          <w:rFonts w:ascii="Arial Narrow" w:hAnsi="Arial Narrow" w:cs="Times New Roman"/>
          <w:i/>
          <w:sz w:val="24"/>
          <w:szCs w:val="24"/>
        </w:rPr>
        <w:t xml:space="preserve">mnoha </w:t>
      </w:r>
      <w:r w:rsidRPr="00E13F63">
        <w:rPr>
          <w:rFonts w:ascii="Arial Narrow" w:hAnsi="Arial Narrow" w:cs="Times New Roman"/>
          <w:i/>
          <w:sz w:val="24"/>
          <w:szCs w:val="24"/>
        </w:rPr>
        <w:t>odborníků z ČR, kteří působi</w:t>
      </w:r>
      <w:r w:rsidR="006C53FF" w:rsidRPr="00E13F63">
        <w:rPr>
          <w:rFonts w:ascii="Arial Narrow" w:hAnsi="Arial Narrow" w:cs="Times New Roman"/>
          <w:i/>
          <w:sz w:val="24"/>
          <w:szCs w:val="24"/>
        </w:rPr>
        <w:t>li</w:t>
      </w:r>
      <w:r w:rsidRPr="00E13F63">
        <w:rPr>
          <w:rFonts w:ascii="Arial Narrow" w:hAnsi="Arial Narrow" w:cs="Times New Roman"/>
          <w:i/>
          <w:sz w:val="24"/>
          <w:szCs w:val="24"/>
        </w:rPr>
        <w:t xml:space="preserve"> jak v ČR, tak v zahraničí a podfinancování na základě tohoto srovnání </w:t>
      </w:r>
      <w:r w:rsidR="00AA32A6" w:rsidRPr="00E13F63">
        <w:rPr>
          <w:rFonts w:ascii="Arial Narrow" w:hAnsi="Arial Narrow" w:cs="Times New Roman"/>
          <w:i/>
          <w:sz w:val="24"/>
          <w:szCs w:val="24"/>
        </w:rPr>
        <w:t xml:space="preserve">(ve shodě s víceletými zkušenostmi autora textu) </w:t>
      </w:r>
      <w:r w:rsidRPr="00E13F63">
        <w:rPr>
          <w:rFonts w:ascii="Arial Narrow" w:hAnsi="Arial Narrow" w:cs="Times New Roman"/>
          <w:i/>
          <w:sz w:val="24"/>
          <w:szCs w:val="24"/>
        </w:rPr>
        <w:t xml:space="preserve">považují za natolik zřejmé a prokazatelné, že je nadále </w:t>
      </w:r>
      <w:proofErr w:type="spellStart"/>
      <w:r w:rsidRPr="00E13F63">
        <w:rPr>
          <w:rFonts w:ascii="Arial Narrow" w:hAnsi="Arial Narrow" w:cs="Times New Roman"/>
          <w:i/>
          <w:sz w:val="24"/>
          <w:szCs w:val="24"/>
        </w:rPr>
        <w:t>dílejí</w:t>
      </w:r>
      <w:proofErr w:type="spellEnd"/>
      <w:r w:rsidRPr="00E13F63">
        <w:rPr>
          <w:rFonts w:ascii="Arial Narrow" w:hAnsi="Arial Narrow" w:cs="Times New Roman"/>
          <w:i/>
          <w:sz w:val="24"/>
          <w:szCs w:val="24"/>
        </w:rPr>
        <w:t xml:space="preserve"> v akademické obci ČR</w:t>
      </w:r>
      <w:r w:rsidR="00AA32A6" w:rsidRPr="00E13F63">
        <w:rPr>
          <w:rFonts w:ascii="Arial Narrow" w:hAnsi="Arial Narrow" w:cs="Times New Roman"/>
          <w:i/>
          <w:sz w:val="24"/>
          <w:szCs w:val="24"/>
        </w:rPr>
        <w:t>, a tím přispívají k uvedenému „vnímání podfinancování“.</w:t>
      </w:r>
    </w:p>
    <w:p w:rsidR="009606CD" w:rsidRPr="00CB4551" w:rsidRDefault="002A4EC2" w:rsidP="009606CD">
      <w:pPr>
        <w:jc w:val="both"/>
        <w:rPr>
          <w:rFonts w:ascii="Times New Roman" w:hAnsi="Times New Roman" w:cs="Times New Roman"/>
          <w:iCs/>
          <w:sz w:val="24"/>
          <w:szCs w:val="24"/>
        </w:rPr>
      </w:pPr>
      <w:r w:rsidRPr="00CB4551">
        <w:rPr>
          <w:rFonts w:cs="Arial"/>
          <w:noProof/>
          <w:sz w:val="24"/>
          <w:szCs w:val="24"/>
        </w:rPr>
        <w:t>Z další disku</w:t>
      </w:r>
      <w:r w:rsidR="007F1626" w:rsidRPr="00CB4551">
        <w:rPr>
          <w:rFonts w:cs="Arial"/>
          <w:noProof/>
          <w:sz w:val="24"/>
          <w:szCs w:val="24"/>
        </w:rPr>
        <w:t>z</w:t>
      </w:r>
      <w:r w:rsidRPr="00CB4551">
        <w:rPr>
          <w:rFonts w:cs="Arial"/>
          <w:noProof/>
          <w:sz w:val="24"/>
          <w:szCs w:val="24"/>
        </w:rPr>
        <w:t xml:space="preserve">e a studia podkladů vyplynulo, </w:t>
      </w:r>
      <w:r w:rsidRPr="00CB4551">
        <w:rPr>
          <w:rFonts w:cs="Arial"/>
          <w:sz w:val="24"/>
          <w:szCs w:val="24"/>
        </w:rPr>
        <w:t>že d</w:t>
      </w:r>
      <w:r w:rsidR="009606CD" w:rsidRPr="00CB4551">
        <w:rPr>
          <w:rFonts w:cs="Arial"/>
          <w:sz w:val="24"/>
          <w:szCs w:val="24"/>
        </w:rPr>
        <w:t xml:space="preserve">ostupné aktuální údaje OECD </w:t>
      </w:r>
      <w:r w:rsidR="009606CD" w:rsidRPr="00CB4551">
        <w:rPr>
          <w:rFonts w:cs="Arial"/>
          <w:noProof/>
          <w:color w:val="0000FF"/>
          <w:sz w:val="24"/>
          <w:szCs w:val="24"/>
          <w:u w:val="single"/>
        </w:rPr>
        <w:t>(Education at a Glance 2014)</w:t>
      </w:r>
      <w:r w:rsidR="009606CD" w:rsidRPr="00CB4551">
        <w:rPr>
          <w:rFonts w:cs="Arial"/>
          <w:noProof/>
          <w:color w:val="0000FF"/>
          <w:sz w:val="24"/>
          <w:szCs w:val="24"/>
        </w:rPr>
        <w:t xml:space="preserve"> </w:t>
      </w:r>
      <w:r w:rsidR="009606CD" w:rsidRPr="00CB4551">
        <w:rPr>
          <w:rFonts w:cs="Arial"/>
          <w:noProof/>
          <w:sz w:val="24"/>
          <w:szCs w:val="24"/>
        </w:rPr>
        <w:t xml:space="preserve">a EUA </w:t>
      </w:r>
      <w:r w:rsidR="009606CD" w:rsidRPr="00CB4551">
        <w:rPr>
          <w:rFonts w:cs="Arial"/>
          <w:sz w:val="24"/>
          <w:szCs w:val="24"/>
        </w:rPr>
        <w:t>(</w:t>
      </w:r>
      <w:hyperlink r:id="rId67" w:history="1">
        <w:r w:rsidR="009606CD" w:rsidRPr="00CB4551">
          <w:rPr>
            <w:rFonts w:cs="Arial"/>
            <w:iCs/>
            <w:color w:val="0000FF"/>
            <w:sz w:val="24"/>
            <w:szCs w:val="24"/>
            <w:u w:val="single"/>
          </w:rPr>
          <w:t xml:space="preserve">EUA Public </w:t>
        </w:r>
        <w:proofErr w:type="spellStart"/>
        <w:r w:rsidR="009606CD" w:rsidRPr="00CB4551">
          <w:rPr>
            <w:rFonts w:cs="Arial"/>
            <w:iCs/>
            <w:color w:val="0000FF"/>
            <w:sz w:val="24"/>
            <w:szCs w:val="24"/>
            <w:u w:val="single"/>
          </w:rPr>
          <w:t>Funding</w:t>
        </w:r>
        <w:proofErr w:type="spellEnd"/>
        <w:r w:rsidR="009606CD" w:rsidRPr="00CB4551">
          <w:rPr>
            <w:rFonts w:cs="Arial"/>
            <w:iCs/>
            <w:color w:val="0000FF"/>
            <w:sz w:val="24"/>
            <w:szCs w:val="24"/>
            <w:u w:val="single"/>
          </w:rPr>
          <w:t xml:space="preserve"> </w:t>
        </w:r>
        <w:proofErr w:type="spellStart"/>
        <w:r w:rsidR="009606CD" w:rsidRPr="00CB4551">
          <w:rPr>
            <w:rFonts w:cs="Arial"/>
            <w:iCs/>
            <w:color w:val="0000FF"/>
            <w:sz w:val="24"/>
            <w:szCs w:val="24"/>
            <w:u w:val="single"/>
          </w:rPr>
          <w:t>Observatory</w:t>
        </w:r>
        <w:proofErr w:type="spellEnd"/>
        <w:r w:rsidR="009606CD" w:rsidRPr="00CB4551">
          <w:rPr>
            <w:rFonts w:cs="Arial"/>
            <w:iCs/>
            <w:color w:val="0000FF"/>
            <w:sz w:val="24"/>
            <w:szCs w:val="24"/>
            <w:u w:val="single"/>
          </w:rPr>
          <w:t xml:space="preserve"> Report 2014</w:t>
        </w:r>
      </w:hyperlink>
      <w:r w:rsidR="009606CD" w:rsidRPr="00CB4551">
        <w:rPr>
          <w:rFonts w:cs="Arial"/>
          <w:sz w:val="24"/>
          <w:szCs w:val="24"/>
        </w:rPr>
        <w:t>) dokladují značně rizikový trend (obzvláště při započítání vlivu inflace) ve vývoji financování vysokých škol z veřejných zdrojů v mnoha zemích Evropy, včetně ČR.</w:t>
      </w:r>
      <w:r w:rsidRPr="00CB4551">
        <w:rPr>
          <w:rFonts w:cs="Arial"/>
          <w:sz w:val="24"/>
          <w:szCs w:val="24"/>
        </w:rPr>
        <w:t xml:space="preserve"> Za a</w:t>
      </w:r>
      <w:r w:rsidR="009606CD" w:rsidRPr="00CB4551">
        <w:rPr>
          <w:rFonts w:cs="Arial"/>
          <w:sz w:val="24"/>
          <w:szCs w:val="24"/>
        </w:rPr>
        <w:t xml:space="preserve">larmující je </w:t>
      </w:r>
      <w:r w:rsidRPr="00CB4551">
        <w:rPr>
          <w:rFonts w:cs="Arial"/>
          <w:sz w:val="24"/>
          <w:szCs w:val="24"/>
        </w:rPr>
        <w:t xml:space="preserve">považována </w:t>
      </w:r>
      <w:r w:rsidR="009606CD" w:rsidRPr="00CB4551">
        <w:rPr>
          <w:rFonts w:cs="Arial"/>
          <w:sz w:val="24"/>
          <w:szCs w:val="24"/>
        </w:rPr>
        <w:t xml:space="preserve">skutečnost, že se rozevírají nůžky mezi zeměmi západu a severu Evropy ve srovnání se zeměmi jejího východu a jihu, s ohledem na </w:t>
      </w:r>
      <w:r w:rsidR="00395FF4" w:rsidRPr="00CB4551">
        <w:rPr>
          <w:rFonts w:cs="Arial"/>
          <w:sz w:val="24"/>
          <w:szCs w:val="24"/>
        </w:rPr>
        <w:t xml:space="preserve">(i navyšované) </w:t>
      </w:r>
      <w:r w:rsidR="009606CD" w:rsidRPr="00CB4551">
        <w:rPr>
          <w:rFonts w:cs="Arial"/>
          <w:sz w:val="24"/>
          <w:szCs w:val="24"/>
        </w:rPr>
        <w:t>financování vysokých škol z veřejných zdrojů. Tato okolnost poškozuje celou Evropu, například v její konkurenceschopnosti a sociální stabilitě, ztěžuje budování EHEA a ERA.</w:t>
      </w:r>
      <w:r w:rsidR="00776048" w:rsidRPr="00CB4551">
        <w:rPr>
          <w:rFonts w:cs="Arial"/>
          <w:sz w:val="24"/>
          <w:szCs w:val="24"/>
        </w:rPr>
        <w:t xml:space="preserve"> </w:t>
      </w:r>
      <w:r w:rsidR="00776048" w:rsidRPr="00CB4551">
        <w:rPr>
          <w:rFonts w:eastAsia="Times New Roman" w:cs="Arial"/>
          <w:color w:val="000000"/>
          <w:sz w:val="24"/>
          <w:szCs w:val="24"/>
        </w:rPr>
        <w:t>C</w:t>
      </w:r>
      <w:r w:rsidR="00395FF4" w:rsidRPr="00CB4551">
        <w:rPr>
          <w:rFonts w:eastAsia="Times New Roman" w:cs="Arial"/>
          <w:color w:val="000000"/>
          <w:sz w:val="24"/>
          <w:szCs w:val="24"/>
        </w:rPr>
        <w:t xml:space="preserve">itace </w:t>
      </w:r>
      <w:r w:rsidR="00776048" w:rsidRPr="00CB4551">
        <w:rPr>
          <w:rFonts w:eastAsia="Times New Roman" w:cs="Arial"/>
          <w:color w:val="000000"/>
          <w:sz w:val="24"/>
          <w:szCs w:val="24"/>
        </w:rPr>
        <w:t xml:space="preserve">z OECD tuto informaci doplňují i relativně nízkým podílem výdajů na VŠ studenta v ČR (viz </w:t>
      </w:r>
      <w:r w:rsidR="00776048" w:rsidRPr="00CB4551">
        <w:rPr>
          <w:rFonts w:cs="Arial"/>
          <w:iCs/>
          <w:sz w:val="24"/>
          <w:szCs w:val="24"/>
        </w:rPr>
        <w:t>Education at a Glance 2014, strana 211</w:t>
      </w:r>
      <w:r w:rsidR="00395FF4" w:rsidRPr="00CB4551">
        <w:rPr>
          <w:rFonts w:cs="Arial"/>
          <w:iCs/>
          <w:sz w:val="24"/>
          <w:szCs w:val="24"/>
        </w:rPr>
        <w:t>, osa y</w:t>
      </w:r>
      <w:r w:rsidR="00CB4551">
        <w:rPr>
          <w:rFonts w:cs="Arial"/>
          <w:iCs/>
          <w:sz w:val="24"/>
          <w:szCs w:val="24"/>
        </w:rPr>
        <w:t>)</w:t>
      </w:r>
      <w:r w:rsidR="00776048" w:rsidRPr="00CB4551">
        <w:rPr>
          <w:rFonts w:cs="Arial"/>
          <w:iCs/>
          <w:sz w:val="24"/>
          <w:szCs w:val="24"/>
        </w:rPr>
        <w:t>:</w:t>
      </w:r>
    </w:p>
    <w:p w:rsidR="00776048" w:rsidRPr="00E13F63" w:rsidRDefault="00776048" w:rsidP="009606CD">
      <w:pPr>
        <w:jc w:val="both"/>
        <w:rPr>
          <w:rFonts w:ascii="Arial Narrow" w:hAnsi="Arial Narrow" w:cs="Times New Roman"/>
          <w:i/>
          <w:sz w:val="24"/>
          <w:szCs w:val="24"/>
        </w:rPr>
      </w:pPr>
      <w:r>
        <w:rPr>
          <w:rFonts w:ascii="Arial Narrow" w:hAnsi="Arial Narrow" w:cs="Times New Roman"/>
          <w:i/>
          <w:noProof/>
          <w:sz w:val="24"/>
          <w:szCs w:val="24"/>
        </w:rPr>
        <w:drawing>
          <wp:inline distT="0" distB="0" distL="0" distR="0">
            <wp:extent cx="5758295" cy="2220686"/>
            <wp:effectExtent l="19050" t="0" r="0" b="0"/>
            <wp:docPr id="7" name="Obrázek 6" descr="Ob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1.png"/>
                    <pic:cNvPicPr/>
                  </pic:nvPicPr>
                  <pic:blipFill>
                    <a:blip r:embed="rId68" cstate="print"/>
                    <a:stretch>
                      <a:fillRect/>
                    </a:stretch>
                  </pic:blipFill>
                  <pic:spPr>
                    <a:xfrm>
                      <a:off x="0" y="0"/>
                      <a:ext cx="5760720" cy="2221621"/>
                    </a:xfrm>
                    <a:prstGeom prst="rect">
                      <a:avLst/>
                    </a:prstGeom>
                  </pic:spPr>
                </pic:pic>
              </a:graphicData>
            </a:graphic>
          </wp:inline>
        </w:drawing>
      </w:r>
    </w:p>
    <w:p w:rsidR="00AA32A6" w:rsidRPr="00E13F63" w:rsidRDefault="009606CD" w:rsidP="008B3D10">
      <w:pPr>
        <w:spacing w:after="240"/>
        <w:jc w:val="both"/>
        <w:rPr>
          <w:rFonts w:ascii="Arial Narrow" w:hAnsi="Arial Narrow" w:cs="Times New Roman"/>
          <w:i/>
          <w:sz w:val="24"/>
          <w:szCs w:val="24"/>
        </w:rPr>
      </w:pPr>
      <w:r w:rsidRPr="00E13F63">
        <w:rPr>
          <w:rFonts w:ascii="Arial Narrow" w:hAnsi="Arial Narrow" w:cs="Times New Roman"/>
          <w:i/>
          <w:sz w:val="24"/>
          <w:szCs w:val="24"/>
        </w:rPr>
        <w:t xml:space="preserve"> </w:t>
      </w:r>
      <w:r w:rsidR="002A4EC2" w:rsidRPr="00E13F63">
        <w:rPr>
          <w:rFonts w:ascii="Arial Narrow" w:hAnsi="Arial Narrow" w:cs="Times New Roman"/>
          <w:i/>
          <w:sz w:val="24"/>
          <w:szCs w:val="24"/>
        </w:rPr>
        <w:t>Souhrnně tedy doporučujeme věnovat pozornost výše uvedenému doplňujícímu doporučení</w:t>
      </w:r>
      <w:r w:rsidR="00AA32A6" w:rsidRPr="00E13F63">
        <w:rPr>
          <w:rFonts w:ascii="Arial Narrow" w:hAnsi="Arial Narrow" w:cs="Times New Roman"/>
          <w:i/>
          <w:sz w:val="24"/>
          <w:szCs w:val="24"/>
        </w:rPr>
        <w:t>, které se zaměřuje na problematiku využití sběru podkladů ze zdrojů ČR (ČSÚ, rozpočty ČR a MŠMT, vliv inflace, výše HDP aj.), postupu předávání údajů pro mezinárodní statistická srovnání, porovnání metodik sběru a vyhodnocování dat na mezistátní úrovni a analýze výše financování a jejího vývoje včetně posouzení příčin „vnímání podfinancování“.</w:t>
      </w:r>
    </w:p>
    <w:p w:rsidR="003B39C0" w:rsidRDefault="003B39C0" w:rsidP="008B3D10">
      <w:pPr>
        <w:spacing w:after="240"/>
        <w:jc w:val="both"/>
        <w:rPr>
          <w:rFonts w:ascii="Arial Narrow" w:eastAsia="Times New Roman" w:hAnsi="Arial Narrow" w:cs="Times New Roman"/>
          <w:b/>
          <w:sz w:val="24"/>
          <w:szCs w:val="24"/>
        </w:rPr>
      </w:pPr>
    </w:p>
    <w:p w:rsidR="00CB4551" w:rsidRDefault="00CB4551" w:rsidP="008B3D10">
      <w:pPr>
        <w:spacing w:after="240"/>
        <w:jc w:val="both"/>
        <w:rPr>
          <w:rFonts w:ascii="Arial Narrow" w:eastAsia="Times New Roman" w:hAnsi="Arial Narrow" w:cs="Times New Roman"/>
          <w:b/>
          <w:sz w:val="24"/>
          <w:szCs w:val="24"/>
        </w:rPr>
      </w:pPr>
    </w:p>
    <w:p w:rsidR="00CB4551" w:rsidRDefault="00CB4551" w:rsidP="008B3D10">
      <w:pPr>
        <w:spacing w:after="240"/>
        <w:jc w:val="both"/>
        <w:rPr>
          <w:rFonts w:ascii="Arial Narrow" w:eastAsia="Times New Roman" w:hAnsi="Arial Narrow" w:cs="Times New Roman"/>
          <w:b/>
          <w:sz w:val="24"/>
          <w:szCs w:val="24"/>
        </w:rPr>
      </w:pPr>
    </w:p>
    <w:p w:rsidR="00B85C5E" w:rsidRPr="00E13F63" w:rsidRDefault="00B85C5E" w:rsidP="008B3D10">
      <w:pPr>
        <w:spacing w:after="240"/>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lastRenderedPageBreak/>
        <w:t>Bod 2: Důraz je třeba klást na skutečné a nikoliv na umělé priority 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Mnohé priority předchozích období podle disku</w:t>
      </w:r>
      <w:r w:rsidR="007F1626">
        <w:rPr>
          <w:rFonts w:ascii="Arial Narrow" w:eastAsia="Times New Roman" w:hAnsi="Arial Narrow" w:cs="Times New Roman"/>
          <w:i/>
          <w:sz w:val="24"/>
          <w:szCs w:val="24"/>
        </w:rPr>
        <w:t>z</w:t>
      </w:r>
      <w:r w:rsidRPr="00E13F63">
        <w:rPr>
          <w:rFonts w:ascii="Arial Narrow" w:eastAsia="Times New Roman" w:hAnsi="Arial Narrow" w:cs="Times New Roman"/>
          <w:i/>
          <w:sz w:val="24"/>
          <w:szCs w:val="24"/>
        </w:rPr>
        <w:t>í v akademické obci (ne nutně na úrovních řízení VŠ) byly často považovány za spíše zevně a uměle přinesené, viz např. časté disku</w:t>
      </w:r>
      <w:r w:rsidR="007F1626">
        <w:rPr>
          <w:rFonts w:ascii="Arial Narrow" w:eastAsia="Times New Roman" w:hAnsi="Arial Narrow" w:cs="Times New Roman"/>
          <w:i/>
          <w:sz w:val="24"/>
          <w:szCs w:val="24"/>
        </w:rPr>
        <w:t>z</w:t>
      </w:r>
      <w:r w:rsidRPr="00E13F63">
        <w:rPr>
          <w:rFonts w:ascii="Arial Narrow" w:eastAsia="Times New Roman" w:hAnsi="Arial Narrow" w:cs="Times New Roman"/>
          <w:i/>
          <w:sz w:val="24"/>
          <w:szCs w:val="24"/>
        </w:rPr>
        <w:t xml:space="preserve">e k OP VK z různých hledisek jak v Praze, tak mimo Prahu. </w:t>
      </w:r>
    </w:p>
    <w:p w:rsidR="001D08CC"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Dopady:</w:t>
      </w:r>
      <w:r w:rsidRPr="00E13F63">
        <w:rPr>
          <w:rFonts w:ascii="Arial Narrow" w:eastAsia="Times New Roman" w:hAnsi="Arial Narrow" w:cs="Times New Roman"/>
          <w:i/>
          <w:sz w:val="24"/>
          <w:szCs w:val="24"/>
        </w:rPr>
        <w:t xml:space="preserve"> Cíle projektů pak byly často naplňovány především se záměrem kompenzovat zaostávající základní institucionální financování VŠ. V důsledku toho existovala a přetrvávala nedůvěra k budoucí smysluplnosti dalšího projektového financování.</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Možná řešení: </w:t>
      </w:r>
      <w:r w:rsidRPr="00E13F63">
        <w:rPr>
          <w:rFonts w:ascii="Arial Narrow" w:eastAsia="Times New Roman" w:hAnsi="Arial Narrow" w:cs="Times New Roman"/>
          <w:i/>
          <w:sz w:val="24"/>
          <w:szCs w:val="24"/>
        </w:rPr>
        <w:t>Nové dokumenty MŠMT (DZ, strategický rámec) jsou v reprezentacích akademické obce vnímány jako realističtější proti minulým obdobím. V ideálním případě se je podaří dotáhnout tak, aby přímo souvisely i s financováním projektů z domácích a evropských zdrojů.</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 xml:space="preserve">Bilance zdrojů a souhrn priorit získaných v rámci KREDO z účastnících se VŠ s jejich četnostmi může představovat indikativní doporučení z VŠ pro období přípravy projektů na MŠMT s přihlédnutím ke kritickým momentům zpracování a neúčasti některých VŠ. </w:t>
      </w:r>
    </w:p>
    <w:p w:rsidR="001D08CC" w:rsidRPr="00E13F63" w:rsidRDefault="001D08CC" w:rsidP="008B3D10">
      <w:pPr>
        <w:tabs>
          <w:tab w:val="left" w:pos="916"/>
          <w:tab w:val="left" w:pos="1832"/>
          <w:tab w:val="left" w:pos="2748"/>
          <w:tab w:val="left" w:pos="3664"/>
          <w:tab w:val="left" w:pos="4580"/>
          <w:tab w:val="left" w:pos="5496"/>
          <w:tab w:val="left" w:pos="6412"/>
          <w:tab w:val="left" w:pos="7328"/>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Doplnění:</w:t>
      </w:r>
      <w:r w:rsidRPr="00E13F63">
        <w:rPr>
          <w:rFonts w:ascii="Arial Narrow" w:eastAsia="Times New Roman" w:hAnsi="Arial Narrow" w:cs="Times New Roman"/>
          <w:b/>
          <w:i/>
          <w:sz w:val="24"/>
          <w:szCs w:val="24"/>
        </w:rPr>
        <w:t xml:space="preserve"> </w:t>
      </w:r>
      <w:r w:rsidR="003F6D80" w:rsidRPr="00E13F63">
        <w:rPr>
          <w:rFonts w:ascii="Arial Narrow" w:eastAsia="Times New Roman" w:hAnsi="Arial Narrow" w:cs="Times New Roman"/>
          <w:i/>
          <w:sz w:val="24"/>
          <w:szCs w:val="24"/>
        </w:rPr>
        <w:t>Zásadním způsobem autor textu rozporuje doporučení K04:</w:t>
      </w:r>
      <w:r w:rsidR="003F6D80" w:rsidRPr="00E13F63">
        <w:rPr>
          <w:rFonts w:ascii="Arial Narrow" w:eastAsia="Times New Roman" w:hAnsi="Arial Narrow" w:cs="Times New Roman"/>
          <w:i/>
          <w:sz w:val="24"/>
          <w:szCs w:val="24"/>
        </w:rPr>
        <w:tab/>
      </w:r>
    </w:p>
    <w:p w:rsidR="003F6D80" w:rsidRPr="00E13F63" w:rsidRDefault="003F6D80" w:rsidP="003F6D80">
      <w:pPr>
        <w:pStyle w:val="Odstavecseseznamem"/>
        <w:spacing w:after="240"/>
        <w:ind w:left="0"/>
        <w:jc w:val="both"/>
        <w:rPr>
          <w:rFonts w:ascii="Arial Narrow" w:hAnsi="Arial Narrow" w:cs="Times New Roman"/>
          <w:sz w:val="24"/>
          <w:szCs w:val="24"/>
        </w:rPr>
      </w:pPr>
      <w:r w:rsidRPr="00E13F63">
        <w:rPr>
          <w:rFonts w:ascii="Arial Narrow" w:hAnsi="Arial Narrow" w:cs="Times New Roman"/>
          <w:b/>
          <w:bCs/>
          <w:sz w:val="24"/>
          <w:szCs w:val="24"/>
        </w:rPr>
        <w:t xml:space="preserve">„Bod 2 </w:t>
      </w:r>
      <w:r w:rsidRPr="00E13F63">
        <w:rPr>
          <w:rFonts w:ascii="Arial Narrow" w:hAnsi="Arial Narrow" w:cs="Times New Roman"/>
          <w:sz w:val="24"/>
          <w:szCs w:val="24"/>
        </w:rPr>
        <w:t>– Uváděné dopady jsou tak závažným konstatováním, že by měly vyvolat aktivity kontrolních orgánů.“</w:t>
      </w:r>
    </w:p>
    <w:p w:rsidR="003F6D80" w:rsidRPr="00E13F63" w:rsidRDefault="003F6D80" w:rsidP="003F6D80">
      <w:pPr>
        <w:pStyle w:val="Odstavecseseznamem"/>
        <w:spacing w:after="240"/>
        <w:ind w:left="0"/>
        <w:jc w:val="both"/>
        <w:rPr>
          <w:rFonts w:ascii="Arial Narrow" w:hAnsi="Arial Narrow" w:cs="Times New Roman"/>
          <w:i/>
          <w:sz w:val="24"/>
          <w:szCs w:val="24"/>
        </w:rPr>
      </w:pPr>
      <w:r w:rsidRPr="00E13F63">
        <w:rPr>
          <w:rFonts w:ascii="Arial Narrow" w:hAnsi="Arial Narrow" w:cs="Times New Roman"/>
          <w:i/>
          <w:sz w:val="24"/>
          <w:szCs w:val="24"/>
        </w:rPr>
        <w:t>K tomu autor textu nyní konstatuje, že tento vyhraněný komentář čte něco, co v původní formulaci výše není uvedeno. Slova "</w:t>
      </w:r>
      <w:r w:rsidRPr="00E13F63">
        <w:rPr>
          <w:rFonts w:ascii="Arial Narrow" w:hAnsi="Arial Narrow" w:cs="Times New Roman"/>
          <w:sz w:val="24"/>
          <w:szCs w:val="24"/>
        </w:rPr>
        <w:t xml:space="preserve">Cíle projektů pak byly často naplňovány" </w:t>
      </w:r>
      <w:r w:rsidRPr="00E13F63">
        <w:rPr>
          <w:rFonts w:ascii="Arial Narrow" w:hAnsi="Arial Narrow" w:cs="Times New Roman"/>
          <w:i/>
          <w:sz w:val="24"/>
          <w:szCs w:val="24"/>
        </w:rPr>
        <w:t>jasně konstatují,</w:t>
      </w:r>
      <w:r w:rsidR="007F1626">
        <w:rPr>
          <w:rFonts w:ascii="Arial Narrow" w:hAnsi="Arial Narrow" w:cs="Times New Roman"/>
          <w:i/>
          <w:sz w:val="24"/>
          <w:szCs w:val="24"/>
        </w:rPr>
        <w:t xml:space="preserve"> </w:t>
      </w:r>
      <w:r w:rsidRPr="00E13F63">
        <w:rPr>
          <w:rFonts w:ascii="Arial Narrow" w:hAnsi="Arial Narrow" w:cs="Times New Roman"/>
          <w:i/>
          <w:sz w:val="24"/>
          <w:szCs w:val="24"/>
        </w:rPr>
        <w:t xml:space="preserve">že cíle byly naplňovány a i splněny. Pokračování </w:t>
      </w:r>
      <w:r w:rsidRPr="00E13F63">
        <w:rPr>
          <w:rFonts w:ascii="Arial Narrow" w:hAnsi="Arial Narrow" w:cs="Times New Roman"/>
          <w:sz w:val="24"/>
          <w:szCs w:val="24"/>
        </w:rPr>
        <w:t xml:space="preserve">"především se záměrem kompenzovat zaostávající základní institucionální financování VŠ." </w:t>
      </w:r>
      <w:r w:rsidRPr="00E13F63">
        <w:rPr>
          <w:rFonts w:ascii="Arial Narrow" w:hAnsi="Arial Narrow" w:cs="Times New Roman"/>
          <w:i/>
          <w:sz w:val="24"/>
          <w:szCs w:val="24"/>
        </w:rPr>
        <w:t>stručně formuluje, že v</w:t>
      </w:r>
      <w:r w:rsidR="006D3C63" w:rsidRPr="00E13F63">
        <w:rPr>
          <w:rFonts w:ascii="Arial Narrow" w:hAnsi="Arial Narrow" w:cs="Times New Roman"/>
          <w:i/>
          <w:sz w:val="24"/>
          <w:szCs w:val="24"/>
        </w:rPr>
        <w:t xml:space="preserve"> rá</w:t>
      </w:r>
      <w:r w:rsidRPr="00E13F63">
        <w:rPr>
          <w:rFonts w:ascii="Arial Narrow" w:hAnsi="Arial Narrow" w:cs="Times New Roman"/>
          <w:i/>
          <w:sz w:val="24"/>
          <w:szCs w:val="24"/>
        </w:rPr>
        <w:t>mci mo</w:t>
      </w:r>
      <w:r w:rsidR="006D3C63" w:rsidRPr="00E13F63">
        <w:rPr>
          <w:rFonts w:ascii="Arial Narrow" w:hAnsi="Arial Narrow" w:cs="Times New Roman"/>
          <w:i/>
          <w:sz w:val="24"/>
          <w:szCs w:val="24"/>
        </w:rPr>
        <w:t>ž</w:t>
      </w:r>
      <w:r w:rsidRPr="00E13F63">
        <w:rPr>
          <w:rFonts w:ascii="Arial Narrow" w:hAnsi="Arial Narrow" w:cs="Times New Roman"/>
          <w:i/>
          <w:sz w:val="24"/>
          <w:szCs w:val="24"/>
        </w:rPr>
        <w:t>nost</w:t>
      </w:r>
      <w:r w:rsidR="006D3C63" w:rsidRPr="00E13F63">
        <w:rPr>
          <w:rFonts w:ascii="Arial Narrow" w:hAnsi="Arial Narrow" w:cs="Times New Roman"/>
          <w:i/>
          <w:sz w:val="24"/>
          <w:szCs w:val="24"/>
        </w:rPr>
        <w:t>í</w:t>
      </w:r>
      <w:r w:rsidRPr="00E13F63">
        <w:rPr>
          <w:rFonts w:ascii="Arial Narrow" w:hAnsi="Arial Narrow" w:cs="Times New Roman"/>
          <w:i/>
          <w:sz w:val="24"/>
          <w:szCs w:val="24"/>
        </w:rPr>
        <w:t xml:space="preserve"> pomohly projekty p</w:t>
      </w:r>
      <w:r w:rsidR="006D3C63" w:rsidRPr="00E13F63">
        <w:rPr>
          <w:rFonts w:ascii="Arial Narrow" w:hAnsi="Arial Narrow" w:cs="Times New Roman"/>
          <w:i/>
          <w:sz w:val="24"/>
          <w:szCs w:val="24"/>
        </w:rPr>
        <w:t>ř</w:t>
      </w:r>
      <w:r w:rsidRPr="00E13F63">
        <w:rPr>
          <w:rFonts w:ascii="Arial Narrow" w:hAnsi="Arial Narrow" w:cs="Times New Roman"/>
          <w:i/>
          <w:sz w:val="24"/>
          <w:szCs w:val="24"/>
        </w:rPr>
        <w:t>i napl</w:t>
      </w:r>
      <w:r w:rsidR="006D3C63" w:rsidRPr="00E13F63">
        <w:rPr>
          <w:rFonts w:ascii="Arial Narrow" w:hAnsi="Arial Narrow" w:cs="Times New Roman"/>
          <w:i/>
          <w:sz w:val="24"/>
          <w:szCs w:val="24"/>
        </w:rPr>
        <w:t>ň</w:t>
      </w:r>
      <w:r w:rsidRPr="00E13F63">
        <w:rPr>
          <w:rFonts w:ascii="Arial Narrow" w:hAnsi="Arial Narrow" w:cs="Times New Roman"/>
          <w:i/>
          <w:sz w:val="24"/>
          <w:szCs w:val="24"/>
        </w:rPr>
        <w:t>ov</w:t>
      </w:r>
      <w:r w:rsidR="006D3C63" w:rsidRPr="00E13F63">
        <w:rPr>
          <w:rFonts w:ascii="Arial Narrow" w:hAnsi="Arial Narrow" w:cs="Times New Roman"/>
          <w:i/>
          <w:sz w:val="24"/>
          <w:szCs w:val="24"/>
        </w:rPr>
        <w:t>á</w:t>
      </w:r>
      <w:r w:rsidRPr="00E13F63">
        <w:rPr>
          <w:rFonts w:ascii="Arial Narrow" w:hAnsi="Arial Narrow" w:cs="Times New Roman"/>
          <w:i/>
          <w:sz w:val="24"/>
          <w:szCs w:val="24"/>
        </w:rPr>
        <w:t>n</w:t>
      </w:r>
      <w:r w:rsidR="006D3C63" w:rsidRPr="00E13F63">
        <w:rPr>
          <w:rFonts w:ascii="Arial Narrow" w:hAnsi="Arial Narrow" w:cs="Times New Roman"/>
          <w:i/>
          <w:sz w:val="24"/>
          <w:szCs w:val="24"/>
        </w:rPr>
        <w:t>í</w:t>
      </w:r>
      <w:r w:rsidRPr="00E13F63">
        <w:rPr>
          <w:rFonts w:ascii="Arial Narrow" w:hAnsi="Arial Narrow" w:cs="Times New Roman"/>
          <w:i/>
          <w:sz w:val="24"/>
          <w:szCs w:val="24"/>
        </w:rPr>
        <w:t xml:space="preserve"> c</w:t>
      </w:r>
      <w:r w:rsidR="007F1626">
        <w:rPr>
          <w:rFonts w:ascii="Arial Narrow" w:hAnsi="Arial Narrow" w:cs="Times New Roman"/>
          <w:i/>
          <w:sz w:val="24"/>
          <w:szCs w:val="24"/>
        </w:rPr>
        <w:t>í</w:t>
      </w:r>
      <w:r w:rsidRPr="00E13F63">
        <w:rPr>
          <w:rFonts w:ascii="Arial Narrow" w:hAnsi="Arial Narrow" w:cs="Times New Roman"/>
          <w:i/>
          <w:sz w:val="24"/>
          <w:szCs w:val="24"/>
        </w:rPr>
        <w:t>l</w:t>
      </w:r>
      <w:r w:rsidR="006D3C63" w:rsidRPr="00E13F63">
        <w:rPr>
          <w:rFonts w:ascii="Arial Narrow" w:hAnsi="Arial Narrow" w:cs="Times New Roman"/>
          <w:i/>
          <w:sz w:val="24"/>
          <w:szCs w:val="24"/>
        </w:rPr>
        <w:t>ů i</w:t>
      </w:r>
      <w:r w:rsidRPr="00E13F63">
        <w:rPr>
          <w:rFonts w:ascii="Arial Narrow" w:hAnsi="Arial Narrow" w:cs="Times New Roman"/>
          <w:i/>
          <w:sz w:val="24"/>
          <w:szCs w:val="24"/>
        </w:rPr>
        <w:t xml:space="preserve"> financovat ty,</w:t>
      </w:r>
      <w:r w:rsidR="006D3C63" w:rsidRPr="00E13F63">
        <w:rPr>
          <w:rFonts w:ascii="Arial Narrow" w:hAnsi="Arial Narrow" w:cs="Times New Roman"/>
          <w:i/>
          <w:sz w:val="24"/>
          <w:szCs w:val="24"/>
        </w:rPr>
        <w:t xml:space="preserve"> </w:t>
      </w:r>
      <w:r w:rsidRPr="00E13F63">
        <w:rPr>
          <w:rFonts w:ascii="Arial Narrow" w:hAnsi="Arial Narrow" w:cs="Times New Roman"/>
          <w:i/>
          <w:sz w:val="24"/>
          <w:szCs w:val="24"/>
        </w:rPr>
        <w:t>kte</w:t>
      </w:r>
      <w:r w:rsidR="006D3C63" w:rsidRPr="00E13F63">
        <w:rPr>
          <w:rFonts w:ascii="Arial Narrow" w:hAnsi="Arial Narrow" w:cs="Times New Roman"/>
          <w:i/>
          <w:sz w:val="24"/>
          <w:szCs w:val="24"/>
        </w:rPr>
        <w:t>ří by př</w:t>
      </w:r>
      <w:r w:rsidRPr="00E13F63">
        <w:rPr>
          <w:rFonts w:ascii="Arial Narrow" w:hAnsi="Arial Narrow" w:cs="Times New Roman"/>
          <w:i/>
          <w:sz w:val="24"/>
          <w:szCs w:val="24"/>
        </w:rPr>
        <w:t xml:space="preserve">i </w:t>
      </w:r>
      <w:r w:rsidR="006D3C63" w:rsidRPr="00E13F63">
        <w:rPr>
          <w:rFonts w:ascii="Arial Narrow" w:hAnsi="Arial Narrow" w:cs="Times New Roman"/>
          <w:i/>
          <w:sz w:val="24"/>
          <w:szCs w:val="24"/>
        </w:rPr>
        <w:t>své zá</w:t>
      </w:r>
      <w:r w:rsidRPr="00E13F63">
        <w:rPr>
          <w:rFonts w:ascii="Arial Narrow" w:hAnsi="Arial Narrow" w:cs="Times New Roman"/>
          <w:i/>
          <w:sz w:val="24"/>
          <w:szCs w:val="24"/>
        </w:rPr>
        <w:t>vislosti na institucion</w:t>
      </w:r>
      <w:r w:rsidR="007F1626">
        <w:rPr>
          <w:rFonts w:ascii="Arial Narrow" w:hAnsi="Arial Narrow" w:cs="Times New Roman"/>
          <w:i/>
          <w:sz w:val="24"/>
          <w:szCs w:val="24"/>
        </w:rPr>
        <w:t>á</w:t>
      </w:r>
      <w:r w:rsidRPr="00E13F63">
        <w:rPr>
          <w:rFonts w:ascii="Arial Narrow" w:hAnsi="Arial Narrow" w:cs="Times New Roman"/>
          <w:i/>
          <w:sz w:val="24"/>
          <w:szCs w:val="24"/>
        </w:rPr>
        <w:t>ln</w:t>
      </w:r>
      <w:r w:rsidR="006D3C63" w:rsidRPr="00E13F63">
        <w:rPr>
          <w:rFonts w:ascii="Arial Narrow" w:hAnsi="Arial Narrow" w:cs="Times New Roman"/>
          <w:i/>
          <w:sz w:val="24"/>
          <w:szCs w:val="24"/>
        </w:rPr>
        <w:t>ím</w:t>
      </w:r>
      <w:r w:rsidRPr="00E13F63">
        <w:rPr>
          <w:rFonts w:ascii="Arial Narrow" w:hAnsi="Arial Narrow" w:cs="Times New Roman"/>
          <w:i/>
          <w:sz w:val="24"/>
          <w:szCs w:val="24"/>
        </w:rPr>
        <w:t xml:space="preserve"> financov</w:t>
      </w:r>
      <w:r w:rsidR="006D3C63" w:rsidRPr="00E13F63">
        <w:rPr>
          <w:rFonts w:ascii="Arial Narrow" w:hAnsi="Arial Narrow" w:cs="Times New Roman"/>
          <w:i/>
          <w:sz w:val="24"/>
          <w:szCs w:val="24"/>
        </w:rPr>
        <w:t>á</w:t>
      </w:r>
      <w:r w:rsidRPr="00E13F63">
        <w:rPr>
          <w:rFonts w:ascii="Arial Narrow" w:hAnsi="Arial Narrow" w:cs="Times New Roman"/>
          <w:i/>
          <w:sz w:val="24"/>
          <w:szCs w:val="24"/>
        </w:rPr>
        <w:t>n</w:t>
      </w:r>
      <w:r w:rsidR="006D3C63" w:rsidRPr="00E13F63">
        <w:rPr>
          <w:rFonts w:ascii="Arial Narrow" w:hAnsi="Arial Narrow" w:cs="Times New Roman"/>
          <w:i/>
          <w:sz w:val="24"/>
          <w:szCs w:val="24"/>
        </w:rPr>
        <w:t>í</w:t>
      </w:r>
      <w:r w:rsidRPr="00E13F63">
        <w:rPr>
          <w:rFonts w:ascii="Arial Narrow" w:hAnsi="Arial Narrow" w:cs="Times New Roman"/>
          <w:i/>
          <w:sz w:val="24"/>
          <w:szCs w:val="24"/>
        </w:rPr>
        <w:t xml:space="preserve"> nem</w:t>
      </w:r>
      <w:r w:rsidR="007F1626">
        <w:rPr>
          <w:rFonts w:ascii="Arial Narrow" w:hAnsi="Arial Narrow" w:cs="Times New Roman"/>
          <w:i/>
          <w:sz w:val="24"/>
          <w:szCs w:val="24"/>
        </w:rPr>
        <w:t>ě</w:t>
      </w:r>
      <w:r w:rsidRPr="00E13F63">
        <w:rPr>
          <w:rFonts w:ascii="Arial Narrow" w:hAnsi="Arial Narrow" w:cs="Times New Roman"/>
          <w:i/>
          <w:sz w:val="24"/>
          <w:szCs w:val="24"/>
        </w:rPr>
        <w:t xml:space="preserve">li </w:t>
      </w:r>
      <w:r w:rsidR="006D3C63" w:rsidRPr="00E13F63">
        <w:rPr>
          <w:rFonts w:ascii="Arial Narrow" w:hAnsi="Arial Narrow" w:cs="Times New Roman"/>
          <w:i/>
          <w:sz w:val="24"/>
          <w:szCs w:val="24"/>
        </w:rPr>
        <w:t>š</w:t>
      </w:r>
      <w:r w:rsidRPr="00E13F63">
        <w:rPr>
          <w:rFonts w:ascii="Arial Narrow" w:hAnsi="Arial Narrow" w:cs="Times New Roman"/>
          <w:i/>
          <w:sz w:val="24"/>
          <w:szCs w:val="24"/>
        </w:rPr>
        <w:t>anci</w:t>
      </w:r>
      <w:r w:rsidR="006D3C63" w:rsidRPr="00E13F63">
        <w:rPr>
          <w:rFonts w:ascii="Arial Narrow" w:hAnsi="Arial Narrow" w:cs="Times New Roman"/>
          <w:i/>
          <w:sz w:val="24"/>
          <w:szCs w:val="24"/>
        </w:rPr>
        <w:t xml:space="preserve"> se plněji realizovat</w:t>
      </w:r>
      <w:r w:rsidRPr="00E13F63">
        <w:rPr>
          <w:rFonts w:ascii="Arial Narrow" w:hAnsi="Arial Narrow" w:cs="Times New Roman"/>
          <w:i/>
          <w:sz w:val="24"/>
          <w:szCs w:val="24"/>
        </w:rPr>
        <w:t xml:space="preserve"> </w:t>
      </w:r>
      <w:r w:rsidR="006D3C63" w:rsidRPr="00E13F63">
        <w:rPr>
          <w:rFonts w:ascii="Arial Narrow" w:hAnsi="Arial Narrow" w:cs="Times New Roman"/>
          <w:i/>
          <w:sz w:val="24"/>
          <w:szCs w:val="24"/>
        </w:rPr>
        <w:t xml:space="preserve">– např. </w:t>
      </w:r>
      <w:r w:rsidRPr="00E13F63">
        <w:rPr>
          <w:rFonts w:ascii="Arial Narrow" w:hAnsi="Arial Narrow" w:cs="Times New Roman"/>
          <w:i/>
          <w:sz w:val="24"/>
          <w:szCs w:val="24"/>
        </w:rPr>
        <w:t>mlad</w:t>
      </w:r>
      <w:r w:rsidR="006D3C63" w:rsidRPr="00E13F63">
        <w:rPr>
          <w:rFonts w:ascii="Arial Narrow" w:hAnsi="Arial Narrow" w:cs="Times New Roman"/>
          <w:i/>
          <w:sz w:val="24"/>
          <w:szCs w:val="24"/>
        </w:rPr>
        <w:t>í</w:t>
      </w:r>
      <w:r w:rsidRPr="00E13F63">
        <w:rPr>
          <w:rFonts w:ascii="Arial Narrow" w:hAnsi="Arial Narrow" w:cs="Times New Roman"/>
          <w:i/>
          <w:sz w:val="24"/>
          <w:szCs w:val="24"/>
        </w:rPr>
        <w:t xml:space="preserve"> pracovn</w:t>
      </w:r>
      <w:r w:rsidR="006D3C63" w:rsidRPr="00E13F63">
        <w:rPr>
          <w:rFonts w:ascii="Arial Narrow" w:hAnsi="Arial Narrow" w:cs="Times New Roman"/>
          <w:i/>
          <w:sz w:val="24"/>
          <w:szCs w:val="24"/>
        </w:rPr>
        <w:t>í</w:t>
      </w:r>
      <w:r w:rsidRPr="00E13F63">
        <w:rPr>
          <w:rFonts w:ascii="Arial Narrow" w:hAnsi="Arial Narrow" w:cs="Times New Roman"/>
          <w:i/>
          <w:sz w:val="24"/>
          <w:szCs w:val="24"/>
        </w:rPr>
        <w:t>ci bez RIV bod</w:t>
      </w:r>
      <w:r w:rsidR="006D3C63" w:rsidRPr="00E13F63">
        <w:rPr>
          <w:rFonts w:ascii="Arial Narrow" w:hAnsi="Arial Narrow" w:cs="Times New Roman"/>
          <w:i/>
          <w:sz w:val="24"/>
          <w:szCs w:val="24"/>
        </w:rPr>
        <w:t>ů byli</w:t>
      </w:r>
      <w:r w:rsidRPr="00E13F63">
        <w:rPr>
          <w:rFonts w:ascii="Arial Narrow" w:hAnsi="Arial Narrow" w:cs="Times New Roman"/>
          <w:i/>
          <w:sz w:val="24"/>
          <w:szCs w:val="24"/>
        </w:rPr>
        <w:t xml:space="preserve"> zapojeni do VaV projekt</w:t>
      </w:r>
      <w:r w:rsidR="006D3C63" w:rsidRPr="00E13F63">
        <w:rPr>
          <w:rFonts w:ascii="Arial Narrow" w:hAnsi="Arial Narrow" w:cs="Times New Roman"/>
          <w:i/>
          <w:sz w:val="24"/>
          <w:szCs w:val="24"/>
        </w:rPr>
        <w:t>ů</w:t>
      </w:r>
      <w:r w:rsidRPr="00E13F63">
        <w:rPr>
          <w:rFonts w:ascii="Arial Narrow" w:hAnsi="Arial Narrow" w:cs="Times New Roman"/>
          <w:i/>
          <w:sz w:val="24"/>
          <w:szCs w:val="24"/>
        </w:rPr>
        <w:t>, star</w:t>
      </w:r>
      <w:r w:rsidR="006D3C63" w:rsidRPr="00E13F63">
        <w:rPr>
          <w:rFonts w:ascii="Arial Narrow" w:hAnsi="Arial Narrow" w:cs="Times New Roman"/>
          <w:i/>
          <w:sz w:val="24"/>
          <w:szCs w:val="24"/>
        </w:rPr>
        <w:t xml:space="preserve">ší </w:t>
      </w:r>
      <w:r w:rsidRPr="00E13F63">
        <w:rPr>
          <w:rFonts w:ascii="Arial Narrow" w:hAnsi="Arial Narrow" w:cs="Times New Roman"/>
          <w:i/>
          <w:sz w:val="24"/>
          <w:szCs w:val="24"/>
        </w:rPr>
        <w:t>pedagogov</w:t>
      </w:r>
      <w:r w:rsidR="006D3C63" w:rsidRPr="00E13F63">
        <w:rPr>
          <w:rFonts w:ascii="Arial Narrow" w:hAnsi="Arial Narrow" w:cs="Times New Roman"/>
          <w:i/>
          <w:sz w:val="24"/>
          <w:szCs w:val="24"/>
        </w:rPr>
        <w:t>é</w:t>
      </w:r>
      <w:r w:rsidRPr="00E13F63">
        <w:rPr>
          <w:rFonts w:ascii="Arial Narrow" w:hAnsi="Arial Narrow" w:cs="Times New Roman"/>
          <w:i/>
          <w:sz w:val="24"/>
          <w:szCs w:val="24"/>
        </w:rPr>
        <w:t xml:space="preserve"> mohli z</w:t>
      </w:r>
      <w:r w:rsidR="006D3C63" w:rsidRPr="00E13F63">
        <w:rPr>
          <w:rFonts w:ascii="Arial Narrow" w:hAnsi="Arial Narrow" w:cs="Times New Roman"/>
          <w:i/>
          <w:sz w:val="24"/>
          <w:szCs w:val="24"/>
        </w:rPr>
        <w:t>ú</w:t>
      </w:r>
      <w:r w:rsidRPr="00E13F63">
        <w:rPr>
          <w:rFonts w:ascii="Arial Narrow" w:hAnsi="Arial Narrow" w:cs="Times New Roman"/>
          <w:i/>
          <w:sz w:val="24"/>
          <w:szCs w:val="24"/>
        </w:rPr>
        <w:t>ro</w:t>
      </w:r>
      <w:r w:rsidR="006D3C63" w:rsidRPr="00E13F63">
        <w:rPr>
          <w:rFonts w:ascii="Arial Narrow" w:hAnsi="Arial Narrow" w:cs="Times New Roman"/>
          <w:i/>
          <w:sz w:val="24"/>
          <w:szCs w:val="24"/>
        </w:rPr>
        <w:t>č</w:t>
      </w:r>
      <w:r w:rsidRPr="00E13F63">
        <w:rPr>
          <w:rFonts w:ascii="Arial Narrow" w:hAnsi="Arial Narrow" w:cs="Times New Roman"/>
          <w:i/>
          <w:sz w:val="24"/>
          <w:szCs w:val="24"/>
        </w:rPr>
        <w:t>it sv</w:t>
      </w:r>
      <w:r w:rsidR="006D3C63" w:rsidRPr="00E13F63">
        <w:rPr>
          <w:rFonts w:ascii="Arial Narrow" w:hAnsi="Arial Narrow" w:cs="Times New Roman"/>
          <w:i/>
          <w:sz w:val="24"/>
          <w:szCs w:val="24"/>
        </w:rPr>
        <w:t>é</w:t>
      </w:r>
      <w:r w:rsidRPr="00E13F63">
        <w:rPr>
          <w:rFonts w:ascii="Arial Narrow" w:hAnsi="Arial Narrow" w:cs="Times New Roman"/>
          <w:i/>
          <w:sz w:val="24"/>
          <w:szCs w:val="24"/>
        </w:rPr>
        <w:t xml:space="preserve"> zku</w:t>
      </w:r>
      <w:r w:rsidR="006D3C63" w:rsidRPr="00E13F63">
        <w:rPr>
          <w:rFonts w:ascii="Arial Narrow" w:hAnsi="Arial Narrow" w:cs="Times New Roman"/>
          <w:i/>
          <w:sz w:val="24"/>
          <w:szCs w:val="24"/>
        </w:rPr>
        <w:t>š</w:t>
      </w:r>
      <w:r w:rsidRPr="00E13F63">
        <w:rPr>
          <w:rFonts w:ascii="Arial Narrow" w:hAnsi="Arial Narrow" w:cs="Times New Roman"/>
          <w:i/>
          <w:sz w:val="24"/>
          <w:szCs w:val="24"/>
        </w:rPr>
        <w:t xml:space="preserve">enosti </w:t>
      </w:r>
      <w:r w:rsidR="006D3C63" w:rsidRPr="00E13F63">
        <w:rPr>
          <w:rFonts w:ascii="Arial Narrow" w:hAnsi="Arial Narrow" w:cs="Times New Roman"/>
          <w:i/>
          <w:sz w:val="24"/>
          <w:szCs w:val="24"/>
        </w:rPr>
        <w:t>při tvorbě pomů</w:t>
      </w:r>
      <w:r w:rsidRPr="00E13F63">
        <w:rPr>
          <w:rFonts w:ascii="Arial Narrow" w:hAnsi="Arial Narrow" w:cs="Times New Roman"/>
          <w:i/>
          <w:sz w:val="24"/>
          <w:szCs w:val="24"/>
        </w:rPr>
        <w:t>cek, na kter</w:t>
      </w:r>
      <w:r w:rsidR="006D3C63" w:rsidRPr="00E13F63">
        <w:rPr>
          <w:rFonts w:ascii="Arial Narrow" w:hAnsi="Arial Narrow" w:cs="Times New Roman"/>
          <w:i/>
          <w:sz w:val="24"/>
          <w:szCs w:val="24"/>
        </w:rPr>
        <w:t>é</w:t>
      </w:r>
      <w:r w:rsidRPr="00E13F63">
        <w:rPr>
          <w:rFonts w:ascii="Arial Narrow" w:hAnsi="Arial Narrow" w:cs="Times New Roman"/>
          <w:i/>
          <w:sz w:val="24"/>
          <w:szCs w:val="24"/>
        </w:rPr>
        <w:t xml:space="preserve"> by</w:t>
      </w:r>
      <w:r w:rsidR="006D3C63" w:rsidRPr="00E13F63">
        <w:rPr>
          <w:rFonts w:ascii="Arial Narrow" w:hAnsi="Arial Narrow" w:cs="Times New Roman"/>
          <w:i/>
          <w:sz w:val="24"/>
          <w:szCs w:val="24"/>
        </w:rPr>
        <w:t xml:space="preserve"> </w:t>
      </w:r>
      <w:r w:rsidRPr="00E13F63">
        <w:rPr>
          <w:rFonts w:ascii="Arial Narrow" w:hAnsi="Arial Narrow" w:cs="Times New Roman"/>
          <w:i/>
          <w:sz w:val="24"/>
          <w:szCs w:val="24"/>
        </w:rPr>
        <w:t>nebyly pen</w:t>
      </w:r>
      <w:r w:rsidR="007F1626">
        <w:rPr>
          <w:rFonts w:ascii="Arial Narrow" w:hAnsi="Arial Narrow" w:cs="Times New Roman"/>
          <w:i/>
          <w:sz w:val="24"/>
          <w:szCs w:val="24"/>
        </w:rPr>
        <w:t>í</w:t>
      </w:r>
      <w:r w:rsidRPr="00E13F63">
        <w:rPr>
          <w:rFonts w:ascii="Arial Narrow" w:hAnsi="Arial Narrow" w:cs="Times New Roman"/>
          <w:i/>
          <w:sz w:val="24"/>
          <w:szCs w:val="24"/>
        </w:rPr>
        <w:t>ze aj.</w:t>
      </w:r>
      <w:r w:rsidR="008B3D10" w:rsidRPr="00E13F63">
        <w:rPr>
          <w:rFonts w:ascii="Arial Narrow" w:hAnsi="Arial Narrow" w:cs="Times New Roman"/>
          <w:i/>
          <w:sz w:val="24"/>
          <w:szCs w:val="24"/>
        </w:rPr>
        <w:t xml:space="preserve"> </w:t>
      </w:r>
      <w:r w:rsidR="006D3C63" w:rsidRPr="00E13F63">
        <w:rPr>
          <w:rFonts w:ascii="Arial Narrow" w:hAnsi="Arial Narrow" w:cs="Times New Roman"/>
          <w:i/>
          <w:sz w:val="24"/>
          <w:szCs w:val="24"/>
        </w:rPr>
        <w:t xml:space="preserve">Další stručná formulace: </w:t>
      </w:r>
      <w:r w:rsidRPr="00E13F63">
        <w:rPr>
          <w:rFonts w:ascii="Arial Narrow" w:hAnsi="Arial Narrow" w:cs="Times New Roman"/>
          <w:sz w:val="24"/>
          <w:szCs w:val="24"/>
        </w:rPr>
        <w:t>"V důsledku toho existovala a přetrvávala nedůvěra k budoucí smysluplnosti dalšího projektového financování."</w:t>
      </w:r>
      <w:r w:rsidR="006D3C63" w:rsidRPr="00E13F63">
        <w:rPr>
          <w:rFonts w:ascii="Arial Narrow" w:hAnsi="Arial Narrow" w:cs="Times New Roman"/>
          <w:sz w:val="24"/>
          <w:szCs w:val="24"/>
        </w:rPr>
        <w:t xml:space="preserve"> </w:t>
      </w:r>
      <w:r w:rsidR="006D3C63" w:rsidRPr="00E13F63">
        <w:rPr>
          <w:rFonts w:ascii="Arial Narrow" w:hAnsi="Arial Narrow" w:cs="Times New Roman"/>
          <w:i/>
          <w:sz w:val="24"/>
          <w:szCs w:val="24"/>
        </w:rPr>
        <w:t>Zdvořile zpřístupňuje širokou zkušenost z akademické obce, že s výše uvedeným bylo bohužel spojené rozsáhlé</w:t>
      </w:r>
      <w:r w:rsidRPr="00E13F63">
        <w:rPr>
          <w:rFonts w:ascii="Arial Narrow" w:hAnsi="Arial Narrow" w:cs="Times New Roman"/>
          <w:i/>
          <w:sz w:val="24"/>
          <w:szCs w:val="24"/>
        </w:rPr>
        <w:t xml:space="preserve"> v</w:t>
      </w:r>
      <w:r w:rsidR="006D3C63" w:rsidRPr="00E13F63">
        <w:rPr>
          <w:rFonts w:ascii="Arial Narrow" w:hAnsi="Arial Narrow" w:cs="Times New Roman"/>
          <w:i/>
          <w:sz w:val="24"/>
          <w:szCs w:val="24"/>
        </w:rPr>
        <w:t>ý</w:t>
      </w:r>
      <w:r w:rsidRPr="00E13F63">
        <w:rPr>
          <w:rFonts w:ascii="Arial Narrow" w:hAnsi="Arial Narrow" w:cs="Times New Roman"/>
          <w:i/>
          <w:sz w:val="24"/>
          <w:szCs w:val="24"/>
        </w:rPr>
        <w:t>kaznictv</w:t>
      </w:r>
      <w:r w:rsidR="006D3C63" w:rsidRPr="00E13F63">
        <w:rPr>
          <w:rFonts w:ascii="Arial Narrow" w:hAnsi="Arial Narrow" w:cs="Times New Roman"/>
          <w:i/>
          <w:sz w:val="24"/>
          <w:szCs w:val="24"/>
        </w:rPr>
        <w:t>í a častá potř</w:t>
      </w:r>
      <w:r w:rsidRPr="00E13F63">
        <w:rPr>
          <w:rFonts w:ascii="Arial Narrow" w:hAnsi="Arial Narrow" w:cs="Times New Roman"/>
          <w:i/>
          <w:sz w:val="24"/>
          <w:szCs w:val="24"/>
        </w:rPr>
        <w:t>eba</w:t>
      </w:r>
      <w:r w:rsidR="006D3C63" w:rsidRPr="00E13F63">
        <w:rPr>
          <w:rFonts w:ascii="Arial Narrow" w:hAnsi="Arial Narrow" w:cs="Times New Roman"/>
          <w:i/>
          <w:sz w:val="24"/>
          <w:szCs w:val="24"/>
        </w:rPr>
        <w:t xml:space="preserve"> „</w:t>
      </w:r>
      <w:r w:rsidR="008B3D10" w:rsidRPr="00E13F63">
        <w:rPr>
          <w:rFonts w:ascii="Arial Narrow" w:hAnsi="Arial Narrow" w:cs="Times New Roman"/>
          <w:i/>
          <w:sz w:val="24"/>
          <w:szCs w:val="24"/>
        </w:rPr>
        <w:t>byrokratické</w:t>
      </w:r>
      <w:r w:rsidRPr="00E13F63">
        <w:rPr>
          <w:rFonts w:ascii="Arial Narrow" w:hAnsi="Arial Narrow" w:cs="Times New Roman"/>
          <w:i/>
          <w:sz w:val="24"/>
          <w:szCs w:val="24"/>
        </w:rPr>
        <w:t xml:space="preserve"> </w:t>
      </w:r>
      <w:proofErr w:type="spellStart"/>
      <w:r w:rsidRPr="00E13F63">
        <w:rPr>
          <w:rFonts w:ascii="Arial Narrow" w:hAnsi="Arial Narrow" w:cs="Times New Roman"/>
          <w:i/>
          <w:sz w:val="24"/>
          <w:szCs w:val="24"/>
        </w:rPr>
        <w:t>novo</w:t>
      </w:r>
      <w:r w:rsidR="006D3C63" w:rsidRPr="00E13F63">
        <w:rPr>
          <w:rFonts w:ascii="Arial Narrow" w:hAnsi="Arial Narrow" w:cs="Times New Roman"/>
          <w:i/>
          <w:sz w:val="24"/>
          <w:szCs w:val="24"/>
        </w:rPr>
        <w:t>ř</w:t>
      </w:r>
      <w:r w:rsidRPr="00E13F63">
        <w:rPr>
          <w:rFonts w:ascii="Arial Narrow" w:hAnsi="Arial Narrow" w:cs="Times New Roman"/>
          <w:i/>
          <w:sz w:val="24"/>
          <w:szCs w:val="24"/>
        </w:rPr>
        <w:t>e</w:t>
      </w:r>
      <w:r w:rsidR="006D3C63" w:rsidRPr="00E13F63">
        <w:rPr>
          <w:rFonts w:ascii="Arial Narrow" w:hAnsi="Arial Narrow" w:cs="Times New Roman"/>
          <w:i/>
          <w:sz w:val="24"/>
          <w:szCs w:val="24"/>
        </w:rPr>
        <w:t>č</w:t>
      </w:r>
      <w:r w:rsidRPr="00E13F63">
        <w:rPr>
          <w:rFonts w:ascii="Arial Narrow" w:hAnsi="Arial Narrow" w:cs="Times New Roman"/>
          <w:i/>
          <w:sz w:val="24"/>
          <w:szCs w:val="24"/>
        </w:rPr>
        <w:t>i</w:t>
      </w:r>
      <w:proofErr w:type="spellEnd"/>
      <w:r w:rsidRPr="00E13F63">
        <w:rPr>
          <w:rFonts w:ascii="Arial Narrow" w:hAnsi="Arial Narrow" w:cs="Times New Roman"/>
          <w:i/>
          <w:sz w:val="24"/>
          <w:szCs w:val="24"/>
        </w:rPr>
        <w:t xml:space="preserve"> a fr</w:t>
      </w:r>
      <w:r w:rsidR="006D3C63" w:rsidRPr="00E13F63">
        <w:rPr>
          <w:rFonts w:ascii="Arial Narrow" w:hAnsi="Arial Narrow" w:cs="Times New Roman"/>
          <w:i/>
          <w:sz w:val="24"/>
          <w:szCs w:val="24"/>
        </w:rPr>
        <w:t>á</w:t>
      </w:r>
      <w:r w:rsidRPr="00E13F63">
        <w:rPr>
          <w:rFonts w:ascii="Arial Narrow" w:hAnsi="Arial Narrow" w:cs="Times New Roman"/>
          <w:i/>
          <w:sz w:val="24"/>
          <w:szCs w:val="24"/>
        </w:rPr>
        <w:t>z</w:t>
      </w:r>
      <w:r w:rsidR="008B3D10" w:rsidRPr="00E13F63">
        <w:rPr>
          <w:rFonts w:ascii="Arial Narrow" w:hAnsi="Arial Narrow" w:cs="Times New Roman"/>
          <w:i/>
          <w:sz w:val="24"/>
          <w:szCs w:val="24"/>
        </w:rPr>
        <w:t>í</w:t>
      </w:r>
      <w:r w:rsidR="006D3C63" w:rsidRPr="00E13F63">
        <w:rPr>
          <w:rFonts w:ascii="Arial Narrow" w:hAnsi="Arial Narrow" w:cs="Times New Roman"/>
          <w:i/>
          <w:sz w:val="24"/>
          <w:szCs w:val="24"/>
        </w:rPr>
        <w:t>“</w:t>
      </w:r>
      <w:r w:rsidRPr="00E13F63">
        <w:rPr>
          <w:rFonts w:ascii="Arial Narrow" w:hAnsi="Arial Narrow" w:cs="Times New Roman"/>
          <w:i/>
          <w:sz w:val="24"/>
          <w:szCs w:val="24"/>
        </w:rPr>
        <w:t>, do kter</w:t>
      </w:r>
      <w:r w:rsidR="006D3C63" w:rsidRPr="00E13F63">
        <w:rPr>
          <w:rFonts w:ascii="Arial Narrow" w:hAnsi="Arial Narrow" w:cs="Times New Roman"/>
          <w:i/>
          <w:sz w:val="24"/>
          <w:szCs w:val="24"/>
        </w:rPr>
        <w:t>ý</w:t>
      </w:r>
      <w:r w:rsidRPr="00E13F63">
        <w:rPr>
          <w:rFonts w:ascii="Arial Narrow" w:hAnsi="Arial Narrow" w:cs="Times New Roman"/>
          <w:i/>
          <w:sz w:val="24"/>
          <w:szCs w:val="24"/>
        </w:rPr>
        <w:t xml:space="preserve">ch se </w:t>
      </w:r>
      <w:r w:rsidR="006D3C63" w:rsidRPr="00E13F63">
        <w:rPr>
          <w:rFonts w:ascii="Arial Narrow" w:hAnsi="Arial Narrow" w:cs="Times New Roman"/>
          <w:i/>
          <w:sz w:val="24"/>
          <w:szCs w:val="24"/>
        </w:rPr>
        <w:t xml:space="preserve">musela </w:t>
      </w:r>
      <w:r w:rsidRPr="00E13F63">
        <w:rPr>
          <w:rFonts w:ascii="Arial Narrow" w:hAnsi="Arial Narrow" w:cs="Times New Roman"/>
          <w:i/>
          <w:sz w:val="24"/>
          <w:szCs w:val="24"/>
        </w:rPr>
        <w:t>ba</w:t>
      </w:r>
      <w:r w:rsidR="006D3C63" w:rsidRPr="00E13F63">
        <w:rPr>
          <w:rFonts w:ascii="Arial Narrow" w:hAnsi="Arial Narrow" w:cs="Times New Roman"/>
          <w:i/>
          <w:sz w:val="24"/>
          <w:szCs w:val="24"/>
        </w:rPr>
        <w:t>lit</w:t>
      </w:r>
      <w:r w:rsidRPr="00E13F63">
        <w:rPr>
          <w:rFonts w:ascii="Arial Narrow" w:hAnsi="Arial Narrow" w:cs="Times New Roman"/>
          <w:i/>
          <w:sz w:val="24"/>
          <w:szCs w:val="24"/>
        </w:rPr>
        <w:t xml:space="preserve"> smyslup</w:t>
      </w:r>
      <w:r w:rsidR="008B3D10" w:rsidRPr="00E13F63">
        <w:rPr>
          <w:rFonts w:ascii="Arial Narrow" w:hAnsi="Arial Narrow" w:cs="Times New Roman"/>
          <w:i/>
          <w:sz w:val="24"/>
          <w:szCs w:val="24"/>
        </w:rPr>
        <w:t>l</w:t>
      </w:r>
      <w:r w:rsidRPr="00E13F63">
        <w:rPr>
          <w:rFonts w:ascii="Arial Narrow" w:hAnsi="Arial Narrow" w:cs="Times New Roman"/>
          <w:i/>
          <w:sz w:val="24"/>
          <w:szCs w:val="24"/>
        </w:rPr>
        <w:t>n</w:t>
      </w:r>
      <w:r w:rsidR="006D3C63" w:rsidRPr="00E13F63">
        <w:rPr>
          <w:rFonts w:ascii="Arial Narrow" w:hAnsi="Arial Narrow" w:cs="Times New Roman"/>
          <w:i/>
          <w:sz w:val="24"/>
          <w:szCs w:val="24"/>
        </w:rPr>
        <w:t>á</w:t>
      </w:r>
      <w:r w:rsidRPr="00E13F63">
        <w:rPr>
          <w:rFonts w:ascii="Arial Narrow" w:hAnsi="Arial Narrow" w:cs="Times New Roman"/>
          <w:i/>
          <w:sz w:val="24"/>
          <w:szCs w:val="24"/>
        </w:rPr>
        <w:t xml:space="preserve"> </w:t>
      </w:r>
      <w:r w:rsidR="006D3C63" w:rsidRPr="00E13F63">
        <w:rPr>
          <w:rFonts w:ascii="Arial Narrow" w:hAnsi="Arial Narrow" w:cs="Times New Roman"/>
          <w:i/>
          <w:sz w:val="24"/>
          <w:szCs w:val="24"/>
        </w:rPr>
        <w:t>č</w:t>
      </w:r>
      <w:r w:rsidRPr="00E13F63">
        <w:rPr>
          <w:rFonts w:ascii="Arial Narrow" w:hAnsi="Arial Narrow" w:cs="Times New Roman"/>
          <w:i/>
          <w:sz w:val="24"/>
          <w:szCs w:val="24"/>
        </w:rPr>
        <w:t>innost</w:t>
      </w:r>
      <w:r w:rsidR="006D3C63" w:rsidRPr="00E13F63">
        <w:rPr>
          <w:rFonts w:ascii="Arial Narrow" w:hAnsi="Arial Narrow" w:cs="Times New Roman"/>
          <w:i/>
          <w:sz w:val="24"/>
          <w:szCs w:val="24"/>
        </w:rPr>
        <w:t>. Autor nepředpokládal, že uvedené věty s komentovaným významem mohou být interpretovány citovaným způsobem a sebekriticky konstatuje, že zřejmě v původním textu c</w:t>
      </w:r>
      <w:r w:rsidR="008B3D10" w:rsidRPr="00E13F63">
        <w:rPr>
          <w:rFonts w:ascii="Arial Narrow" w:hAnsi="Arial Narrow" w:cs="Times New Roman"/>
          <w:i/>
          <w:sz w:val="24"/>
          <w:szCs w:val="24"/>
        </w:rPr>
        <w:t xml:space="preserve">hybí, a tedy doplňuje na </w:t>
      </w:r>
      <w:proofErr w:type="gramStart"/>
      <w:r w:rsidR="008B3D10" w:rsidRPr="00E13F63">
        <w:rPr>
          <w:rFonts w:ascii="Arial Narrow" w:hAnsi="Arial Narrow" w:cs="Times New Roman"/>
          <w:i/>
          <w:sz w:val="24"/>
          <w:szCs w:val="24"/>
        </w:rPr>
        <w:t>konec:"...</w:t>
      </w:r>
      <w:r w:rsidRPr="00E13F63">
        <w:rPr>
          <w:rFonts w:ascii="Arial Narrow" w:hAnsi="Arial Narrow" w:cs="Times New Roman"/>
          <w:i/>
          <w:sz w:val="24"/>
          <w:szCs w:val="24"/>
        </w:rPr>
        <w:t>smysluplnosti</w:t>
      </w:r>
      <w:proofErr w:type="gramEnd"/>
      <w:r w:rsidRPr="00E13F63">
        <w:rPr>
          <w:rFonts w:ascii="Arial Narrow" w:hAnsi="Arial Narrow" w:cs="Times New Roman"/>
          <w:i/>
          <w:sz w:val="24"/>
          <w:szCs w:val="24"/>
        </w:rPr>
        <w:t xml:space="preserve"> dalšího projektového financování na </w:t>
      </w:r>
      <w:r w:rsidR="00ED40BC">
        <w:rPr>
          <w:rFonts w:ascii="Arial Narrow" w:hAnsi="Arial Narrow" w:cs="Times New Roman"/>
          <w:i/>
          <w:sz w:val="24"/>
          <w:szCs w:val="24"/>
        </w:rPr>
        <w:t>ú</w:t>
      </w:r>
      <w:r w:rsidRPr="00E13F63">
        <w:rPr>
          <w:rFonts w:ascii="Arial Narrow" w:hAnsi="Arial Narrow" w:cs="Times New Roman"/>
          <w:i/>
          <w:sz w:val="24"/>
          <w:szCs w:val="24"/>
        </w:rPr>
        <w:t>kor financov</w:t>
      </w:r>
      <w:r w:rsidR="00ED40BC">
        <w:rPr>
          <w:rFonts w:ascii="Arial Narrow" w:hAnsi="Arial Narrow" w:cs="Times New Roman"/>
          <w:i/>
          <w:sz w:val="24"/>
          <w:szCs w:val="24"/>
        </w:rPr>
        <w:t>á</w:t>
      </w:r>
      <w:r w:rsidRPr="00E13F63">
        <w:rPr>
          <w:rFonts w:ascii="Arial Narrow" w:hAnsi="Arial Narrow" w:cs="Times New Roman"/>
          <w:i/>
          <w:sz w:val="24"/>
          <w:szCs w:val="24"/>
        </w:rPr>
        <w:t>n</w:t>
      </w:r>
      <w:r w:rsidR="00ED40BC">
        <w:rPr>
          <w:rFonts w:ascii="Arial Narrow" w:hAnsi="Arial Narrow" w:cs="Times New Roman"/>
          <w:i/>
          <w:sz w:val="24"/>
          <w:szCs w:val="24"/>
        </w:rPr>
        <w:t>í</w:t>
      </w:r>
      <w:r w:rsidR="006D3C63" w:rsidRPr="00E13F63">
        <w:rPr>
          <w:rFonts w:ascii="Arial Narrow" w:hAnsi="Arial Narrow" w:cs="Times New Roman"/>
          <w:i/>
          <w:sz w:val="24"/>
          <w:szCs w:val="24"/>
        </w:rPr>
        <w:t xml:space="preserve"> </w:t>
      </w:r>
      <w:r w:rsidRPr="00E13F63">
        <w:rPr>
          <w:rFonts w:ascii="Arial Narrow" w:hAnsi="Arial Narrow" w:cs="Times New Roman"/>
          <w:i/>
          <w:sz w:val="24"/>
          <w:szCs w:val="24"/>
        </w:rPr>
        <w:t>institucion</w:t>
      </w:r>
      <w:r w:rsidR="006D3C63" w:rsidRPr="00E13F63">
        <w:rPr>
          <w:rFonts w:ascii="Arial Narrow" w:hAnsi="Arial Narrow" w:cs="Times New Roman"/>
          <w:i/>
          <w:sz w:val="24"/>
          <w:szCs w:val="24"/>
        </w:rPr>
        <w:t>á</w:t>
      </w:r>
      <w:r w:rsidRPr="00E13F63">
        <w:rPr>
          <w:rFonts w:ascii="Arial Narrow" w:hAnsi="Arial Narrow" w:cs="Times New Roman"/>
          <w:i/>
          <w:sz w:val="24"/>
          <w:szCs w:val="24"/>
        </w:rPr>
        <w:t>ln</w:t>
      </w:r>
      <w:r w:rsidR="006D3C63" w:rsidRPr="00E13F63">
        <w:rPr>
          <w:rFonts w:ascii="Arial Narrow" w:hAnsi="Arial Narrow" w:cs="Times New Roman"/>
          <w:i/>
          <w:sz w:val="24"/>
          <w:szCs w:val="24"/>
        </w:rPr>
        <w:t>í</w:t>
      </w:r>
      <w:r w:rsidRPr="00E13F63">
        <w:rPr>
          <w:rFonts w:ascii="Arial Narrow" w:hAnsi="Arial Narrow" w:cs="Times New Roman"/>
          <w:i/>
          <w:sz w:val="24"/>
          <w:szCs w:val="24"/>
        </w:rPr>
        <w:t>ho."</w:t>
      </w:r>
      <w:r w:rsidR="006D3C63" w:rsidRPr="00E13F63">
        <w:rPr>
          <w:rFonts w:ascii="Arial Narrow" w:hAnsi="Arial Narrow" w:cs="Times New Roman"/>
          <w:i/>
          <w:sz w:val="24"/>
          <w:szCs w:val="24"/>
        </w:rPr>
        <w:t xml:space="preserve"> Doporučuje změnit vyznění komentáře o kontrolách z K04 ve smyslu: „</w:t>
      </w:r>
      <w:r w:rsidR="006D3C63" w:rsidRPr="00E13F63">
        <w:rPr>
          <w:rFonts w:ascii="Arial Narrow" w:hAnsi="Arial Narrow" w:cs="Times New Roman"/>
          <w:sz w:val="24"/>
          <w:szCs w:val="24"/>
        </w:rPr>
        <w:t>Doporučujeme dbát v další</w:t>
      </w:r>
      <w:r w:rsidRPr="00E13F63">
        <w:rPr>
          <w:rFonts w:ascii="Arial Narrow" w:hAnsi="Arial Narrow" w:cs="Times New Roman"/>
          <w:sz w:val="24"/>
          <w:szCs w:val="24"/>
        </w:rPr>
        <w:t>m obdob</w:t>
      </w:r>
      <w:r w:rsidR="006D3C63" w:rsidRPr="00E13F63">
        <w:rPr>
          <w:rFonts w:ascii="Arial Narrow" w:hAnsi="Arial Narrow" w:cs="Times New Roman"/>
          <w:sz w:val="24"/>
          <w:szCs w:val="24"/>
        </w:rPr>
        <w:t>í na to, aby projektové financová</w:t>
      </w:r>
      <w:r w:rsidRPr="00E13F63">
        <w:rPr>
          <w:rFonts w:ascii="Arial Narrow" w:hAnsi="Arial Narrow" w:cs="Times New Roman"/>
          <w:sz w:val="24"/>
          <w:szCs w:val="24"/>
        </w:rPr>
        <w:t>n</w:t>
      </w:r>
      <w:r w:rsidR="006D3C63" w:rsidRPr="00E13F63">
        <w:rPr>
          <w:rFonts w:ascii="Arial Narrow" w:hAnsi="Arial Narrow" w:cs="Times New Roman"/>
          <w:sz w:val="24"/>
          <w:szCs w:val="24"/>
        </w:rPr>
        <w:t>í</w:t>
      </w:r>
      <w:r w:rsidRPr="00E13F63">
        <w:rPr>
          <w:rFonts w:ascii="Arial Narrow" w:hAnsi="Arial Narrow" w:cs="Times New Roman"/>
          <w:sz w:val="24"/>
          <w:szCs w:val="24"/>
        </w:rPr>
        <w:t xml:space="preserve"> nejen</w:t>
      </w:r>
      <w:r w:rsidR="006D3C63" w:rsidRPr="00E13F63">
        <w:rPr>
          <w:rFonts w:ascii="Arial Narrow" w:hAnsi="Arial Narrow" w:cs="Times New Roman"/>
          <w:sz w:val="24"/>
          <w:szCs w:val="24"/>
        </w:rPr>
        <w:t xml:space="preserve"> </w:t>
      </w:r>
      <w:r w:rsidRPr="00E13F63">
        <w:rPr>
          <w:rFonts w:ascii="Arial Narrow" w:hAnsi="Arial Narrow" w:cs="Times New Roman"/>
          <w:sz w:val="24"/>
          <w:szCs w:val="24"/>
        </w:rPr>
        <w:t>dominantn</w:t>
      </w:r>
      <w:r w:rsidR="006D3C63" w:rsidRPr="00E13F63">
        <w:rPr>
          <w:rFonts w:ascii="Arial Narrow" w:hAnsi="Arial Narrow" w:cs="Times New Roman"/>
          <w:sz w:val="24"/>
          <w:szCs w:val="24"/>
        </w:rPr>
        <w:t>ě</w:t>
      </w:r>
      <w:r w:rsidRPr="00E13F63">
        <w:rPr>
          <w:rFonts w:ascii="Arial Narrow" w:hAnsi="Arial Narrow" w:cs="Times New Roman"/>
          <w:sz w:val="24"/>
          <w:szCs w:val="24"/>
        </w:rPr>
        <w:t xml:space="preserve"> zapojovalo pracovn</w:t>
      </w:r>
      <w:r w:rsidR="006D3C63" w:rsidRPr="00E13F63">
        <w:rPr>
          <w:rFonts w:ascii="Arial Narrow" w:hAnsi="Arial Narrow" w:cs="Times New Roman"/>
          <w:sz w:val="24"/>
          <w:szCs w:val="24"/>
        </w:rPr>
        <w:t>í</w:t>
      </w:r>
      <w:r w:rsidRPr="00E13F63">
        <w:rPr>
          <w:rFonts w:ascii="Arial Narrow" w:hAnsi="Arial Narrow" w:cs="Times New Roman"/>
          <w:sz w:val="24"/>
          <w:szCs w:val="24"/>
        </w:rPr>
        <w:t>ky V</w:t>
      </w:r>
      <w:r w:rsidR="006D3C63" w:rsidRPr="00E13F63">
        <w:rPr>
          <w:rFonts w:ascii="Arial Narrow" w:hAnsi="Arial Narrow" w:cs="Times New Roman"/>
          <w:sz w:val="24"/>
          <w:szCs w:val="24"/>
        </w:rPr>
        <w:t>Š</w:t>
      </w:r>
      <w:r w:rsidRPr="00E13F63">
        <w:rPr>
          <w:rFonts w:ascii="Arial Narrow" w:hAnsi="Arial Narrow" w:cs="Times New Roman"/>
          <w:sz w:val="24"/>
          <w:szCs w:val="24"/>
        </w:rPr>
        <w:t>S</w:t>
      </w:r>
      <w:r w:rsidR="007E55D0">
        <w:rPr>
          <w:rFonts w:ascii="Arial Narrow" w:hAnsi="Arial Narrow" w:cs="Times New Roman"/>
          <w:sz w:val="24"/>
          <w:szCs w:val="24"/>
        </w:rPr>
        <w:t xml:space="preserve"> </w:t>
      </w:r>
      <w:r w:rsidRPr="00E13F63">
        <w:rPr>
          <w:rFonts w:ascii="Arial Narrow" w:hAnsi="Arial Narrow" w:cs="Times New Roman"/>
          <w:sz w:val="24"/>
          <w:szCs w:val="24"/>
        </w:rPr>
        <w:t>do syst</w:t>
      </w:r>
      <w:r w:rsidR="006D3C63" w:rsidRPr="00E13F63">
        <w:rPr>
          <w:rFonts w:ascii="Arial Narrow" w:hAnsi="Arial Narrow" w:cs="Times New Roman"/>
          <w:sz w:val="24"/>
          <w:szCs w:val="24"/>
        </w:rPr>
        <w:t>é</w:t>
      </w:r>
      <w:r w:rsidRPr="00E13F63">
        <w:rPr>
          <w:rFonts w:ascii="Arial Narrow" w:hAnsi="Arial Narrow" w:cs="Times New Roman"/>
          <w:sz w:val="24"/>
          <w:szCs w:val="24"/>
        </w:rPr>
        <w:t>mu projekt</w:t>
      </w:r>
      <w:r w:rsidR="006D3C63" w:rsidRPr="00E13F63">
        <w:rPr>
          <w:rFonts w:ascii="Arial Narrow" w:hAnsi="Arial Narrow" w:cs="Times New Roman"/>
          <w:sz w:val="24"/>
          <w:szCs w:val="24"/>
        </w:rPr>
        <w:t>ů</w:t>
      </w:r>
      <w:r w:rsidRPr="00E13F63">
        <w:rPr>
          <w:rFonts w:ascii="Arial Narrow" w:hAnsi="Arial Narrow" w:cs="Times New Roman"/>
          <w:sz w:val="24"/>
          <w:szCs w:val="24"/>
        </w:rPr>
        <w:t xml:space="preserve"> v</w:t>
      </w:r>
      <w:r w:rsidR="006D3C63" w:rsidRPr="00E13F63">
        <w:rPr>
          <w:rFonts w:ascii="Arial Narrow" w:hAnsi="Arial Narrow" w:cs="Times New Roman"/>
          <w:sz w:val="24"/>
          <w:szCs w:val="24"/>
        </w:rPr>
        <w:t> </w:t>
      </w:r>
      <w:r w:rsidRPr="00E13F63">
        <w:rPr>
          <w:rFonts w:ascii="Arial Narrow" w:hAnsi="Arial Narrow" w:cs="Times New Roman"/>
          <w:sz w:val="24"/>
          <w:szCs w:val="24"/>
        </w:rPr>
        <w:t>n</w:t>
      </w:r>
      <w:r w:rsidR="006D3C63" w:rsidRPr="00E13F63">
        <w:rPr>
          <w:rFonts w:ascii="Arial Narrow" w:hAnsi="Arial Narrow" w:cs="Times New Roman"/>
          <w:sz w:val="24"/>
          <w:szCs w:val="24"/>
        </w:rPr>
        <w:t>á</w:t>
      </w:r>
      <w:r w:rsidRPr="00E13F63">
        <w:rPr>
          <w:rFonts w:ascii="Arial Narrow" w:hAnsi="Arial Narrow" w:cs="Times New Roman"/>
          <w:sz w:val="24"/>
          <w:szCs w:val="24"/>
        </w:rPr>
        <w:t>vaznosti</w:t>
      </w:r>
      <w:r w:rsidR="006D3C63" w:rsidRPr="00E13F63">
        <w:rPr>
          <w:rFonts w:ascii="Arial Narrow" w:hAnsi="Arial Narrow" w:cs="Times New Roman"/>
          <w:sz w:val="24"/>
          <w:szCs w:val="24"/>
        </w:rPr>
        <w:t xml:space="preserve"> na tzv. „velká</w:t>
      </w:r>
      <w:r w:rsidRPr="00E13F63">
        <w:rPr>
          <w:rFonts w:ascii="Arial Narrow" w:hAnsi="Arial Narrow" w:cs="Times New Roman"/>
          <w:sz w:val="24"/>
          <w:szCs w:val="24"/>
        </w:rPr>
        <w:t xml:space="preserve"> t</w:t>
      </w:r>
      <w:r w:rsidR="006D3C63" w:rsidRPr="00E13F63">
        <w:rPr>
          <w:rFonts w:ascii="Arial Narrow" w:hAnsi="Arial Narrow" w:cs="Times New Roman"/>
          <w:sz w:val="24"/>
          <w:szCs w:val="24"/>
        </w:rPr>
        <w:t>é</w:t>
      </w:r>
      <w:r w:rsidRPr="00E13F63">
        <w:rPr>
          <w:rFonts w:ascii="Arial Narrow" w:hAnsi="Arial Narrow" w:cs="Times New Roman"/>
          <w:sz w:val="24"/>
          <w:szCs w:val="24"/>
        </w:rPr>
        <w:t xml:space="preserve">mata </w:t>
      </w:r>
      <w:r w:rsidR="006D3C63" w:rsidRPr="00E13F63">
        <w:rPr>
          <w:rFonts w:ascii="Arial Narrow" w:hAnsi="Arial Narrow" w:cs="Times New Roman"/>
          <w:sz w:val="24"/>
          <w:szCs w:val="24"/>
        </w:rPr>
        <w:t>d</w:t>
      </w:r>
      <w:r w:rsidRPr="00E13F63">
        <w:rPr>
          <w:rFonts w:ascii="Arial Narrow" w:hAnsi="Arial Narrow" w:cs="Times New Roman"/>
          <w:sz w:val="24"/>
          <w:szCs w:val="24"/>
        </w:rPr>
        <w:t>an</w:t>
      </w:r>
      <w:r w:rsidR="006D3C63" w:rsidRPr="00E13F63">
        <w:rPr>
          <w:rFonts w:ascii="Arial Narrow" w:hAnsi="Arial Narrow" w:cs="Times New Roman"/>
          <w:sz w:val="24"/>
          <w:szCs w:val="24"/>
        </w:rPr>
        <w:t>á</w:t>
      </w:r>
      <w:r w:rsidRPr="00E13F63">
        <w:rPr>
          <w:rFonts w:ascii="Arial Narrow" w:hAnsi="Arial Narrow" w:cs="Times New Roman"/>
          <w:sz w:val="24"/>
          <w:szCs w:val="24"/>
        </w:rPr>
        <w:t xml:space="preserve"> shora</w:t>
      </w:r>
      <w:r w:rsidR="006D3C63" w:rsidRPr="00E13F63">
        <w:rPr>
          <w:rFonts w:ascii="Arial Narrow" w:hAnsi="Arial Narrow" w:cs="Times New Roman"/>
          <w:sz w:val="24"/>
          <w:szCs w:val="24"/>
        </w:rPr>
        <w:t>“</w:t>
      </w:r>
      <w:r w:rsidRPr="00E13F63">
        <w:rPr>
          <w:rFonts w:ascii="Arial Narrow" w:hAnsi="Arial Narrow" w:cs="Times New Roman"/>
          <w:sz w:val="24"/>
          <w:szCs w:val="24"/>
        </w:rPr>
        <w:t xml:space="preserve"> jako v minulosti, ale aby umo</w:t>
      </w:r>
      <w:r w:rsidR="006D3C63" w:rsidRPr="00E13F63">
        <w:rPr>
          <w:rFonts w:ascii="Arial Narrow" w:hAnsi="Arial Narrow" w:cs="Times New Roman"/>
          <w:sz w:val="24"/>
          <w:szCs w:val="24"/>
        </w:rPr>
        <w:t>ž</w:t>
      </w:r>
      <w:r w:rsidRPr="00E13F63">
        <w:rPr>
          <w:rFonts w:ascii="Arial Narrow" w:hAnsi="Arial Narrow" w:cs="Times New Roman"/>
          <w:sz w:val="24"/>
          <w:szCs w:val="24"/>
        </w:rPr>
        <w:t>nilo</w:t>
      </w:r>
      <w:r w:rsidR="006D3C63" w:rsidRPr="00E13F63">
        <w:rPr>
          <w:rFonts w:ascii="Arial Narrow" w:hAnsi="Arial Narrow" w:cs="Times New Roman"/>
          <w:sz w:val="24"/>
          <w:szCs w:val="24"/>
        </w:rPr>
        <w:t xml:space="preserve"> </w:t>
      </w:r>
      <w:r w:rsidRPr="00E13F63">
        <w:rPr>
          <w:rFonts w:ascii="Arial Narrow" w:hAnsi="Arial Narrow" w:cs="Times New Roman"/>
          <w:sz w:val="24"/>
          <w:szCs w:val="24"/>
        </w:rPr>
        <w:t>ve v</w:t>
      </w:r>
      <w:r w:rsidR="006D3C63" w:rsidRPr="00E13F63">
        <w:rPr>
          <w:rFonts w:ascii="Arial Narrow" w:hAnsi="Arial Narrow" w:cs="Times New Roman"/>
          <w:sz w:val="24"/>
          <w:szCs w:val="24"/>
        </w:rPr>
        <w:t>ětší míř</w:t>
      </w:r>
      <w:r w:rsidRPr="00E13F63">
        <w:rPr>
          <w:rFonts w:ascii="Arial Narrow" w:hAnsi="Arial Narrow" w:cs="Times New Roman"/>
          <w:sz w:val="24"/>
          <w:szCs w:val="24"/>
        </w:rPr>
        <w:t>e ne</w:t>
      </w:r>
      <w:r w:rsidR="006D3C63" w:rsidRPr="00E13F63">
        <w:rPr>
          <w:rFonts w:ascii="Arial Narrow" w:hAnsi="Arial Narrow" w:cs="Times New Roman"/>
          <w:sz w:val="24"/>
          <w:szCs w:val="24"/>
        </w:rPr>
        <w:t>ž</w:t>
      </w:r>
      <w:r w:rsidRPr="00E13F63">
        <w:rPr>
          <w:rFonts w:ascii="Arial Narrow" w:hAnsi="Arial Narrow" w:cs="Times New Roman"/>
          <w:sz w:val="24"/>
          <w:szCs w:val="24"/>
        </w:rPr>
        <w:t xml:space="preserve"> v</w:t>
      </w:r>
      <w:r w:rsidR="006D3C63" w:rsidRPr="00E13F63">
        <w:rPr>
          <w:rFonts w:ascii="Arial Narrow" w:hAnsi="Arial Narrow" w:cs="Times New Roman"/>
          <w:sz w:val="24"/>
          <w:szCs w:val="24"/>
        </w:rPr>
        <w:t> </w:t>
      </w:r>
      <w:r w:rsidRPr="00E13F63">
        <w:rPr>
          <w:rFonts w:ascii="Arial Narrow" w:hAnsi="Arial Narrow" w:cs="Times New Roman"/>
          <w:sz w:val="24"/>
          <w:szCs w:val="24"/>
        </w:rPr>
        <w:t>minulosti p</w:t>
      </w:r>
      <w:r w:rsidR="006D3C63" w:rsidRPr="00E13F63">
        <w:rPr>
          <w:rFonts w:ascii="Arial Narrow" w:hAnsi="Arial Narrow" w:cs="Times New Roman"/>
          <w:sz w:val="24"/>
          <w:szCs w:val="24"/>
        </w:rPr>
        <w:t>ří</w:t>
      </w:r>
      <w:r w:rsidRPr="00E13F63">
        <w:rPr>
          <w:rFonts w:ascii="Arial Narrow" w:hAnsi="Arial Narrow" w:cs="Times New Roman"/>
          <w:sz w:val="24"/>
          <w:szCs w:val="24"/>
        </w:rPr>
        <w:t>mo a c</w:t>
      </w:r>
      <w:r w:rsidR="006D3C63" w:rsidRPr="00E13F63">
        <w:rPr>
          <w:rFonts w:ascii="Arial Narrow" w:hAnsi="Arial Narrow" w:cs="Times New Roman"/>
          <w:sz w:val="24"/>
          <w:szCs w:val="24"/>
        </w:rPr>
        <w:t>í</w:t>
      </w:r>
      <w:r w:rsidRPr="00E13F63">
        <w:rPr>
          <w:rFonts w:ascii="Arial Narrow" w:hAnsi="Arial Narrow" w:cs="Times New Roman"/>
          <w:sz w:val="24"/>
          <w:szCs w:val="24"/>
        </w:rPr>
        <w:t>len</w:t>
      </w:r>
      <w:r w:rsidR="006D3C63" w:rsidRPr="00E13F63">
        <w:rPr>
          <w:rFonts w:ascii="Arial Narrow" w:hAnsi="Arial Narrow" w:cs="Times New Roman"/>
          <w:sz w:val="24"/>
          <w:szCs w:val="24"/>
        </w:rPr>
        <w:t>ě</w:t>
      </w:r>
      <w:r w:rsidRPr="00E13F63">
        <w:rPr>
          <w:rFonts w:ascii="Arial Narrow" w:hAnsi="Arial Narrow" w:cs="Times New Roman"/>
          <w:sz w:val="24"/>
          <w:szCs w:val="24"/>
        </w:rPr>
        <w:t xml:space="preserve"> podpo</w:t>
      </w:r>
      <w:r w:rsidR="006D3C63" w:rsidRPr="00E13F63">
        <w:rPr>
          <w:rFonts w:ascii="Arial Narrow" w:hAnsi="Arial Narrow" w:cs="Times New Roman"/>
          <w:sz w:val="24"/>
          <w:szCs w:val="24"/>
        </w:rPr>
        <w:t>ř</w:t>
      </w:r>
      <w:r w:rsidRPr="00E13F63">
        <w:rPr>
          <w:rFonts w:ascii="Arial Narrow" w:hAnsi="Arial Narrow" w:cs="Times New Roman"/>
          <w:sz w:val="24"/>
          <w:szCs w:val="24"/>
        </w:rPr>
        <w:t>it nov</w:t>
      </w:r>
      <w:r w:rsidR="006D3C63" w:rsidRPr="00E13F63">
        <w:rPr>
          <w:rFonts w:ascii="Arial Narrow" w:hAnsi="Arial Narrow" w:cs="Times New Roman"/>
          <w:sz w:val="24"/>
          <w:szCs w:val="24"/>
        </w:rPr>
        <w:t xml:space="preserve">é původní </w:t>
      </w:r>
      <w:r w:rsidRPr="00E13F63">
        <w:rPr>
          <w:rFonts w:ascii="Arial Narrow" w:hAnsi="Arial Narrow" w:cs="Times New Roman"/>
          <w:sz w:val="24"/>
          <w:szCs w:val="24"/>
        </w:rPr>
        <w:t>rozvojov</w:t>
      </w:r>
      <w:r w:rsidR="006D3C63" w:rsidRPr="00E13F63">
        <w:rPr>
          <w:rFonts w:ascii="Arial Narrow" w:hAnsi="Arial Narrow" w:cs="Times New Roman"/>
          <w:sz w:val="24"/>
          <w:szCs w:val="24"/>
        </w:rPr>
        <w:t>é</w:t>
      </w:r>
      <w:r w:rsidRPr="00E13F63">
        <w:rPr>
          <w:rFonts w:ascii="Arial Narrow" w:hAnsi="Arial Narrow" w:cs="Times New Roman"/>
          <w:sz w:val="24"/>
          <w:szCs w:val="24"/>
        </w:rPr>
        <w:t xml:space="preserve"> a tv</w:t>
      </w:r>
      <w:r w:rsidR="006D3C63" w:rsidRPr="00E13F63">
        <w:rPr>
          <w:rFonts w:ascii="Arial Narrow" w:hAnsi="Arial Narrow" w:cs="Times New Roman"/>
          <w:sz w:val="24"/>
          <w:szCs w:val="24"/>
        </w:rPr>
        <w:t>ů</w:t>
      </w:r>
      <w:r w:rsidRPr="00E13F63">
        <w:rPr>
          <w:rFonts w:ascii="Arial Narrow" w:hAnsi="Arial Narrow" w:cs="Times New Roman"/>
          <w:sz w:val="24"/>
          <w:szCs w:val="24"/>
        </w:rPr>
        <w:t>r</w:t>
      </w:r>
      <w:r w:rsidR="006D3C63" w:rsidRPr="00E13F63">
        <w:rPr>
          <w:rFonts w:ascii="Arial Narrow" w:hAnsi="Arial Narrow" w:cs="Times New Roman"/>
          <w:sz w:val="24"/>
          <w:szCs w:val="24"/>
        </w:rPr>
        <w:t>čí</w:t>
      </w:r>
      <w:r w:rsidRPr="00E13F63">
        <w:rPr>
          <w:rFonts w:ascii="Arial Narrow" w:hAnsi="Arial Narrow" w:cs="Times New Roman"/>
          <w:sz w:val="24"/>
          <w:szCs w:val="24"/>
        </w:rPr>
        <w:t xml:space="preserve"> aktivity mlad</w:t>
      </w:r>
      <w:r w:rsidR="006D3C63" w:rsidRPr="00E13F63">
        <w:rPr>
          <w:rFonts w:ascii="Arial Narrow" w:hAnsi="Arial Narrow" w:cs="Times New Roman"/>
          <w:sz w:val="24"/>
          <w:szCs w:val="24"/>
        </w:rPr>
        <w:t>ší</w:t>
      </w:r>
      <w:r w:rsidRPr="00E13F63">
        <w:rPr>
          <w:rFonts w:ascii="Arial Narrow" w:hAnsi="Arial Narrow" w:cs="Times New Roman"/>
          <w:sz w:val="24"/>
          <w:szCs w:val="24"/>
        </w:rPr>
        <w:t>ch pracovn</w:t>
      </w:r>
      <w:r w:rsidR="00ED40BC">
        <w:rPr>
          <w:rFonts w:ascii="Arial Narrow" w:hAnsi="Arial Narrow" w:cs="Times New Roman"/>
          <w:sz w:val="24"/>
          <w:szCs w:val="24"/>
        </w:rPr>
        <w:t>í</w:t>
      </w:r>
      <w:r w:rsidRPr="00E13F63">
        <w:rPr>
          <w:rFonts w:ascii="Arial Narrow" w:hAnsi="Arial Narrow" w:cs="Times New Roman"/>
          <w:sz w:val="24"/>
          <w:szCs w:val="24"/>
        </w:rPr>
        <w:t>k</w:t>
      </w:r>
      <w:r w:rsidR="006D3C63" w:rsidRPr="00E13F63">
        <w:rPr>
          <w:rFonts w:ascii="Arial Narrow" w:hAnsi="Arial Narrow" w:cs="Times New Roman"/>
          <w:sz w:val="24"/>
          <w:szCs w:val="24"/>
        </w:rPr>
        <w:t>ů</w:t>
      </w:r>
      <w:r w:rsidRPr="00E13F63">
        <w:rPr>
          <w:rFonts w:ascii="Arial Narrow" w:hAnsi="Arial Narrow" w:cs="Times New Roman"/>
          <w:sz w:val="24"/>
          <w:szCs w:val="24"/>
        </w:rPr>
        <w:t xml:space="preserve"> a rovn</w:t>
      </w:r>
      <w:r w:rsidR="006D3C63" w:rsidRPr="00E13F63">
        <w:rPr>
          <w:rFonts w:ascii="Arial Narrow" w:hAnsi="Arial Narrow" w:cs="Times New Roman"/>
          <w:sz w:val="24"/>
          <w:szCs w:val="24"/>
        </w:rPr>
        <w:t>ěž</w:t>
      </w:r>
      <w:r w:rsidRPr="00E13F63">
        <w:rPr>
          <w:rFonts w:ascii="Arial Narrow" w:hAnsi="Arial Narrow" w:cs="Times New Roman"/>
          <w:sz w:val="24"/>
          <w:szCs w:val="24"/>
        </w:rPr>
        <w:t xml:space="preserve"> z</w:t>
      </w:r>
      <w:r w:rsidR="006D3C63" w:rsidRPr="00E13F63">
        <w:rPr>
          <w:rFonts w:ascii="Arial Narrow" w:hAnsi="Arial Narrow" w:cs="Times New Roman"/>
          <w:sz w:val="24"/>
          <w:szCs w:val="24"/>
        </w:rPr>
        <w:t>ú</w:t>
      </w:r>
      <w:r w:rsidRPr="00E13F63">
        <w:rPr>
          <w:rFonts w:ascii="Arial Narrow" w:hAnsi="Arial Narrow" w:cs="Times New Roman"/>
          <w:sz w:val="24"/>
          <w:szCs w:val="24"/>
        </w:rPr>
        <w:t>ro</w:t>
      </w:r>
      <w:r w:rsidR="006D3C63" w:rsidRPr="00E13F63">
        <w:rPr>
          <w:rFonts w:ascii="Arial Narrow" w:hAnsi="Arial Narrow" w:cs="Times New Roman"/>
          <w:sz w:val="24"/>
          <w:szCs w:val="24"/>
        </w:rPr>
        <w:t>č</w:t>
      </w:r>
      <w:r w:rsidRPr="00E13F63">
        <w:rPr>
          <w:rFonts w:ascii="Arial Narrow" w:hAnsi="Arial Narrow" w:cs="Times New Roman"/>
          <w:sz w:val="24"/>
          <w:szCs w:val="24"/>
        </w:rPr>
        <w:t>it</w:t>
      </w:r>
      <w:r w:rsidR="006D3C63" w:rsidRPr="00E13F63">
        <w:rPr>
          <w:rFonts w:ascii="Arial Narrow" w:hAnsi="Arial Narrow" w:cs="Times New Roman"/>
          <w:sz w:val="24"/>
          <w:szCs w:val="24"/>
        </w:rPr>
        <w:t xml:space="preserve"> </w:t>
      </w:r>
      <w:r w:rsidRPr="00E13F63">
        <w:rPr>
          <w:rFonts w:ascii="Arial Narrow" w:hAnsi="Arial Narrow" w:cs="Times New Roman"/>
          <w:sz w:val="24"/>
          <w:szCs w:val="24"/>
        </w:rPr>
        <w:t>zku</w:t>
      </w:r>
      <w:r w:rsidR="006D3C63" w:rsidRPr="00E13F63">
        <w:rPr>
          <w:rFonts w:ascii="Arial Narrow" w:hAnsi="Arial Narrow" w:cs="Times New Roman"/>
          <w:sz w:val="24"/>
          <w:szCs w:val="24"/>
        </w:rPr>
        <w:t>š</w:t>
      </w:r>
      <w:r w:rsidRPr="00E13F63">
        <w:rPr>
          <w:rFonts w:ascii="Arial Narrow" w:hAnsi="Arial Narrow" w:cs="Times New Roman"/>
          <w:sz w:val="24"/>
          <w:szCs w:val="24"/>
        </w:rPr>
        <w:t>enosti star</w:t>
      </w:r>
      <w:r w:rsidR="006D3C63" w:rsidRPr="00E13F63">
        <w:rPr>
          <w:rFonts w:ascii="Arial Narrow" w:hAnsi="Arial Narrow" w:cs="Times New Roman"/>
          <w:sz w:val="24"/>
          <w:szCs w:val="24"/>
        </w:rPr>
        <w:t>ší</w:t>
      </w:r>
      <w:r w:rsidRPr="00E13F63">
        <w:rPr>
          <w:rFonts w:ascii="Arial Narrow" w:hAnsi="Arial Narrow" w:cs="Times New Roman"/>
          <w:sz w:val="24"/>
          <w:szCs w:val="24"/>
        </w:rPr>
        <w:t>ch pracovn</w:t>
      </w:r>
      <w:r w:rsidR="006D3C63" w:rsidRPr="00E13F63">
        <w:rPr>
          <w:rFonts w:ascii="Arial Narrow" w:hAnsi="Arial Narrow" w:cs="Times New Roman"/>
          <w:sz w:val="24"/>
          <w:szCs w:val="24"/>
        </w:rPr>
        <w:t>í</w:t>
      </w:r>
      <w:r w:rsidRPr="00E13F63">
        <w:rPr>
          <w:rFonts w:ascii="Arial Narrow" w:hAnsi="Arial Narrow" w:cs="Times New Roman"/>
          <w:sz w:val="24"/>
          <w:szCs w:val="24"/>
        </w:rPr>
        <w:t>k</w:t>
      </w:r>
      <w:r w:rsidR="006D3C63" w:rsidRPr="00E13F63">
        <w:rPr>
          <w:rFonts w:ascii="Arial Narrow" w:hAnsi="Arial Narrow" w:cs="Times New Roman"/>
          <w:sz w:val="24"/>
          <w:szCs w:val="24"/>
        </w:rPr>
        <w:t>ů</w:t>
      </w:r>
      <w:r w:rsidRPr="00E13F63">
        <w:rPr>
          <w:rFonts w:ascii="Arial Narrow" w:hAnsi="Arial Narrow" w:cs="Times New Roman"/>
          <w:sz w:val="24"/>
          <w:szCs w:val="24"/>
        </w:rPr>
        <w:t xml:space="preserve"> V</w:t>
      </w:r>
      <w:r w:rsidR="006D3C63" w:rsidRPr="00E13F63">
        <w:rPr>
          <w:rFonts w:ascii="Arial Narrow" w:hAnsi="Arial Narrow" w:cs="Times New Roman"/>
          <w:sz w:val="24"/>
          <w:szCs w:val="24"/>
        </w:rPr>
        <w:t>Š</w:t>
      </w:r>
      <w:r w:rsidRPr="00E13F63">
        <w:rPr>
          <w:rFonts w:ascii="Arial Narrow" w:hAnsi="Arial Narrow" w:cs="Times New Roman"/>
          <w:sz w:val="24"/>
          <w:szCs w:val="24"/>
        </w:rPr>
        <w:t xml:space="preserve"> ve vzd</w:t>
      </w:r>
      <w:r w:rsidR="006D3C63" w:rsidRPr="00E13F63">
        <w:rPr>
          <w:rFonts w:ascii="Arial Narrow" w:hAnsi="Arial Narrow" w:cs="Times New Roman"/>
          <w:sz w:val="24"/>
          <w:szCs w:val="24"/>
        </w:rPr>
        <w:t>ělá</w:t>
      </w:r>
      <w:r w:rsidRPr="00E13F63">
        <w:rPr>
          <w:rFonts w:ascii="Arial Narrow" w:hAnsi="Arial Narrow" w:cs="Times New Roman"/>
          <w:sz w:val="24"/>
          <w:szCs w:val="24"/>
        </w:rPr>
        <w:t>v</w:t>
      </w:r>
      <w:r w:rsidR="006D3C63" w:rsidRPr="00E13F63">
        <w:rPr>
          <w:rFonts w:ascii="Arial Narrow" w:hAnsi="Arial Narrow" w:cs="Times New Roman"/>
          <w:sz w:val="24"/>
          <w:szCs w:val="24"/>
        </w:rPr>
        <w:t>á</w:t>
      </w:r>
      <w:r w:rsidRPr="00E13F63">
        <w:rPr>
          <w:rFonts w:ascii="Arial Narrow" w:hAnsi="Arial Narrow" w:cs="Times New Roman"/>
          <w:sz w:val="24"/>
          <w:szCs w:val="24"/>
        </w:rPr>
        <w:t>n</w:t>
      </w:r>
      <w:r w:rsidR="006D3C63" w:rsidRPr="00E13F63">
        <w:rPr>
          <w:rFonts w:ascii="Arial Narrow" w:hAnsi="Arial Narrow" w:cs="Times New Roman"/>
          <w:sz w:val="24"/>
          <w:szCs w:val="24"/>
        </w:rPr>
        <w:t xml:space="preserve">í a VaV, které </w:t>
      </w:r>
      <w:r w:rsidRPr="00E13F63">
        <w:rPr>
          <w:rFonts w:ascii="Arial Narrow" w:hAnsi="Arial Narrow" w:cs="Times New Roman"/>
          <w:sz w:val="24"/>
          <w:szCs w:val="24"/>
        </w:rPr>
        <w:t xml:space="preserve">jen v </w:t>
      </w:r>
      <w:r w:rsidRPr="00E13F63">
        <w:rPr>
          <w:rFonts w:ascii="Arial Narrow" w:hAnsi="Arial Narrow" w:cs="Times New Roman"/>
          <w:sz w:val="24"/>
          <w:szCs w:val="24"/>
        </w:rPr>
        <w:lastRenderedPageBreak/>
        <w:t>omezen</w:t>
      </w:r>
      <w:r w:rsidR="006D3C63" w:rsidRPr="00E13F63">
        <w:rPr>
          <w:rFonts w:ascii="Arial Narrow" w:hAnsi="Arial Narrow" w:cs="Times New Roman"/>
          <w:sz w:val="24"/>
          <w:szCs w:val="24"/>
        </w:rPr>
        <w:t>é</w:t>
      </w:r>
      <w:r w:rsidRPr="00E13F63">
        <w:rPr>
          <w:rFonts w:ascii="Arial Narrow" w:hAnsi="Arial Narrow" w:cs="Times New Roman"/>
          <w:sz w:val="24"/>
          <w:szCs w:val="24"/>
        </w:rPr>
        <w:t xml:space="preserve"> m</w:t>
      </w:r>
      <w:r w:rsidR="006D3C63" w:rsidRPr="00E13F63">
        <w:rPr>
          <w:rFonts w:ascii="Arial Narrow" w:hAnsi="Arial Narrow" w:cs="Times New Roman"/>
          <w:sz w:val="24"/>
          <w:szCs w:val="24"/>
        </w:rPr>
        <w:t>íř</w:t>
      </w:r>
      <w:r w:rsidRPr="00E13F63">
        <w:rPr>
          <w:rFonts w:ascii="Arial Narrow" w:hAnsi="Arial Narrow" w:cs="Times New Roman"/>
          <w:sz w:val="24"/>
          <w:szCs w:val="24"/>
        </w:rPr>
        <w:t>e umo</w:t>
      </w:r>
      <w:r w:rsidR="006D3C63" w:rsidRPr="00E13F63">
        <w:rPr>
          <w:rFonts w:ascii="Arial Narrow" w:hAnsi="Arial Narrow" w:cs="Times New Roman"/>
          <w:sz w:val="24"/>
          <w:szCs w:val="24"/>
        </w:rPr>
        <w:t>žň</w:t>
      </w:r>
      <w:r w:rsidRPr="00E13F63">
        <w:rPr>
          <w:rFonts w:ascii="Arial Narrow" w:hAnsi="Arial Narrow" w:cs="Times New Roman"/>
          <w:sz w:val="24"/>
          <w:szCs w:val="24"/>
        </w:rPr>
        <w:t>uje podporovat a rozv</w:t>
      </w:r>
      <w:r w:rsidR="006D3C63" w:rsidRPr="00E13F63">
        <w:rPr>
          <w:rFonts w:ascii="Arial Narrow" w:hAnsi="Arial Narrow" w:cs="Times New Roman"/>
          <w:sz w:val="24"/>
          <w:szCs w:val="24"/>
        </w:rPr>
        <w:t>í</w:t>
      </w:r>
      <w:r w:rsidRPr="00E13F63">
        <w:rPr>
          <w:rFonts w:ascii="Arial Narrow" w:hAnsi="Arial Narrow" w:cs="Times New Roman"/>
          <w:sz w:val="24"/>
          <w:szCs w:val="24"/>
        </w:rPr>
        <w:t>jet dosavadn</w:t>
      </w:r>
      <w:r w:rsidR="006D3C63" w:rsidRPr="00E13F63">
        <w:rPr>
          <w:rFonts w:ascii="Arial Narrow" w:hAnsi="Arial Narrow" w:cs="Times New Roman"/>
          <w:sz w:val="24"/>
          <w:szCs w:val="24"/>
        </w:rPr>
        <w:t>í</w:t>
      </w:r>
      <w:r w:rsidRPr="00E13F63">
        <w:rPr>
          <w:rFonts w:ascii="Arial Narrow" w:hAnsi="Arial Narrow" w:cs="Times New Roman"/>
          <w:sz w:val="24"/>
          <w:szCs w:val="24"/>
        </w:rPr>
        <w:t xml:space="preserve"> </w:t>
      </w:r>
      <w:r w:rsidR="006D3C63" w:rsidRPr="00E13F63">
        <w:rPr>
          <w:rFonts w:ascii="Arial Narrow" w:hAnsi="Arial Narrow" w:cs="Times New Roman"/>
          <w:sz w:val="24"/>
          <w:szCs w:val="24"/>
        </w:rPr>
        <w:t>ú</w:t>
      </w:r>
      <w:r w:rsidRPr="00E13F63">
        <w:rPr>
          <w:rFonts w:ascii="Arial Narrow" w:hAnsi="Arial Narrow" w:cs="Times New Roman"/>
          <w:sz w:val="24"/>
          <w:szCs w:val="24"/>
        </w:rPr>
        <w:t>rove</w:t>
      </w:r>
      <w:r w:rsidR="006D3C63" w:rsidRPr="00E13F63">
        <w:rPr>
          <w:rFonts w:ascii="Arial Narrow" w:hAnsi="Arial Narrow" w:cs="Times New Roman"/>
          <w:sz w:val="24"/>
          <w:szCs w:val="24"/>
        </w:rPr>
        <w:t xml:space="preserve">ň </w:t>
      </w:r>
      <w:r w:rsidRPr="00E13F63">
        <w:rPr>
          <w:rFonts w:ascii="Arial Narrow" w:hAnsi="Arial Narrow" w:cs="Times New Roman"/>
          <w:sz w:val="24"/>
          <w:szCs w:val="24"/>
        </w:rPr>
        <w:t>institucion</w:t>
      </w:r>
      <w:r w:rsidR="006D3C63" w:rsidRPr="00E13F63">
        <w:rPr>
          <w:rFonts w:ascii="Arial Narrow" w:hAnsi="Arial Narrow" w:cs="Times New Roman"/>
          <w:sz w:val="24"/>
          <w:szCs w:val="24"/>
        </w:rPr>
        <w:t>á</w:t>
      </w:r>
      <w:r w:rsidRPr="00E13F63">
        <w:rPr>
          <w:rFonts w:ascii="Arial Narrow" w:hAnsi="Arial Narrow" w:cs="Times New Roman"/>
          <w:sz w:val="24"/>
          <w:szCs w:val="24"/>
        </w:rPr>
        <w:t>ln</w:t>
      </w:r>
      <w:r w:rsidR="006D3C63" w:rsidRPr="00E13F63">
        <w:rPr>
          <w:rFonts w:ascii="Arial Narrow" w:hAnsi="Arial Narrow" w:cs="Times New Roman"/>
          <w:sz w:val="24"/>
          <w:szCs w:val="24"/>
        </w:rPr>
        <w:t>í</w:t>
      </w:r>
      <w:r w:rsidRPr="00E13F63">
        <w:rPr>
          <w:rFonts w:ascii="Arial Narrow" w:hAnsi="Arial Narrow" w:cs="Times New Roman"/>
          <w:sz w:val="24"/>
          <w:szCs w:val="24"/>
        </w:rPr>
        <w:t>ho financov</w:t>
      </w:r>
      <w:r w:rsidR="006D3C63" w:rsidRPr="00E13F63">
        <w:rPr>
          <w:rFonts w:ascii="Arial Narrow" w:hAnsi="Arial Narrow" w:cs="Times New Roman"/>
          <w:sz w:val="24"/>
          <w:szCs w:val="24"/>
        </w:rPr>
        <w:t>á</w:t>
      </w:r>
      <w:r w:rsidRPr="00E13F63">
        <w:rPr>
          <w:rFonts w:ascii="Arial Narrow" w:hAnsi="Arial Narrow" w:cs="Times New Roman"/>
          <w:sz w:val="24"/>
          <w:szCs w:val="24"/>
        </w:rPr>
        <w:t>n</w:t>
      </w:r>
      <w:r w:rsidR="006D3C63" w:rsidRPr="00E13F63">
        <w:rPr>
          <w:rFonts w:ascii="Arial Narrow" w:hAnsi="Arial Narrow" w:cs="Times New Roman"/>
          <w:sz w:val="24"/>
          <w:szCs w:val="24"/>
        </w:rPr>
        <w:t xml:space="preserve">í.“ </w:t>
      </w:r>
      <w:r w:rsidR="006D3C63" w:rsidRPr="00E13F63">
        <w:rPr>
          <w:rFonts w:ascii="Arial Narrow" w:hAnsi="Arial Narrow" w:cs="Times New Roman"/>
          <w:i/>
          <w:sz w:val="24"/>
          <w:szCs w:val="24"/>
        </w:rPr>
        <w:t>Tento přístup by zároveň pozitivně zúročil dobré zkušenosti projektu KREDO s iniciativou zdola.</w:t>
      </w:r>
    </w:p>
    <w:p w:rsidR="003F6D80" w:rsidRPr="00E13F63" w:rsidRDefault="003F6D8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t>Bod 3: Finance je třeba zaměřit více na lidské zdroje</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Zaměření na investiční rozvoj v minulých obdobích vnímané jako priorita říd</w:t>
      </w:r>
      <w:r w:rsidR="00ED40BC">
        <w:rPr>
          <w:rFonts w:ascii="Arial Narrow" w:eastAsia="Times New Roman" w:hAnsi="Arial Narrow" w:cs="Times New Roman"/>
          <w:i/>
          <w:sz w:val="24"/>
          <w:szCs w:val="24"/>
        </w:rPr>
        <w:t>i</w:t>
      </w:r>
      <w:r w:rsidRPr="00E13F63">
        <w:rPr>
          <w:rFonts w:ascii="Arial Narrow" w:eastAsia="Times New Roman" w:hAnsi="Arial Narrow" w:cs="Times New Roman"/>
          <w:i/>
          <w:sz w:val="24"/>
          <w:szCs w:val="24"/>
        </w:rPr>
        <w:t>cích úrovní nebylo rozhodně vnímáno jednoznačně pozitivně v akademické obci.</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Dopady: </w:t>
      </w:r>
      <w:r w:rsidRPr="00E13F63">
        <w:rPr>
          <w:rFonts w:ascii="Arial Narrow" w:eastAsia="Times New Roman" w:hAnsi="Arial Narrow" w:cs="Times New Roman"/>
          <w:i/>
          <w:sz w:val="24"/>
          <w:szCs w:val="24"/>
        </w:rPr>
        <w:t xml:space="preserve">Rozvojové investiční potřeby se jeví u mnoha VŠ jako saturované. Výjimkou jsou některé VŠ, dle vyjádření zejména pražské (v souvislosti s dosažitelností některých velkých projektů).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informací: </w:t>
      </w:r>
      <w:r w:rsidRPr="00E13F63">
        <w:rPr>
          <w:rFonts w:ascii="Arial Narrow" w:eastAsia="Times New Roman" w:hAnsi="Arial Narrow" w:cs="Times New Roman"/>
          <w:i/>
          <w:sz w:val="24"/>
          <w:szCs w:val="24"/>
        </w:rPr>
        <w:t>Až na případy pražských VŠ a některé regionální případy, investiční preference se v prioritách i v bilanci zdrojů jeví proti minulosti jako méně naléhavé.</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Možná řešení: </w:t>
      </w:r>
      <w:r w:rsidRPr="00E13F63">
        <w:rPr>
          <w:rFonts w:ascii="Arial Narrow" w:eastAsia="Times New Roman" w:hAnsi="Arial Narrow" w:cs="Times New Roman"/>
          <w:i/>
          <w:sz w:val="24"/>
          <w:szCs w:val="24"/>
        </w:rPr>
        <w:t xml:space="preserve">S ohledem na Bod 1 výše se jeví jako zásadní zaměření dalšího financování včetně OP VVV na lidské zdroje (viz např. přímá podpora internacionalizace, která byla v minulosti podporována spíše pro jednorázové aktivity, jako je tvorba pomůcek, a ne pro posílení podpory jejího provozování). </w:t>
      </w:r>
      <w:r w:rsidR="009415F2" w:rsidRPr="00E13F63">
        <w:rPr>
          <w:rFonts w:ascii="Arial Narrow" w:hAnsi="Arial Narrow" w:cs="Times New Roman"/>
          <w:i/>
          <w:sz w:val="24"/>
          <w:szCs w:val="24"/>
        </w:rPr>
        <w:t xml:space="preserve">Zásadní význam má podchycení potenciálu absolventů doktorského studia cestou vytváření </w:t>
      </w:r>
      <w:proofErr w:type="spellStart"/>
      <w:r w:rsidR="009415F2" w:rsidRPr="00E13F63">
        <w:rPr>
          <w:rFonts w:ascii="Arial Narrow" w:hAnsi="Arial Narrow" w:cs="Times New Roman"/>
          <w:i/>
          <w:sz w:val="24"/>
          <w:szCs w:val="24"/>
        </w:rPr>
        <w:t>postdoktorských</w:t>
      </w:r>
      <w:proofErr w:type="spellEnd"/>
      <w:r w:rsidR="009415F2" w:rsidRPr="00E13F63">
        <w:rPr>
          <w:rFonts w:ascii="Arial Narrow" w:hAnsi="Arial Narrow" w:cs="Times New Roman"/>
          <w:i/>
          <w:sz w:val="24"/>
          <w:szCs w:val="24"/>
        </w:rPr>
        <w:t xml:space="preserve"> pozic s využit</w:t>
      </w:r>
      <w:r w:rsidR="003F6D80" w:rsidRPr="00E13F63">
        <w:rPr>
          <w:rFonts w:ascii="Arial Narrow" w:hAnsi="Arial Narrow" w:cs="Times New Roman"/>
          <w:i/>
          <w:sz w:val="24"/>
          <w:szCs w:val="24"/>
        </w:rPr>
        <w:t>í</w:t>
      </w:r>
      <w:r w:rsidR="009415F2" w:rsidRPr="00E13F63">
        <w:rPr>
          <w:rFonts w:ascii="Arial Narrow" w:hAnsi="Arial Narrow" w:cs="Times New Roman"/>
          <w:i/>
          <w:sz w:val="24"/>
          <w:szCs w:val="24"/>
        </w:rPr>
        <w:t xml:space="preserve">m mezinárodních výběrových řízení a s důrazem na </w:t>
      </w:r>
      <w:proofErr w:type="spellStart"/>
      <w:r w:rsidR="009415F2" w:rsidRPr="00E13F63">
        <w:rPr>
          <w:rFonts w:ascii="Arial Narrow" w:hAnsi="Arial Narrow" w:cs="Times New Roman"/>
          <w:i/>
          <w:sz w:val="24"/>
          <w:szCs w:val="24"/>
        </w:rPr>
        <w:t>intersektorální</w:t>
      </w:r>
      <w:proofErr w:type="spellEnd"/>
      <w:r w:rsidR="009415F2" w:rsidRPr="00E13F63">
        <w:rPr>
          <w:rFonts w:ascii="Arial Narrow" w:hAnsi="Arial Narrow" w:cs="Times New Roman"/>
          <w:i/>
          <w:sz w:val="24"/>
          <w:szCs w:val="24"/>
        </w:rPr>
        <w:t xml:space="preserve"> a mezinárodní mobilitu. Měly by být využity v zásadě pozitivní zkušenosti s programem podpory postdoktorandů v rámci OP VK.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t xml:space="preserve">Bod 4: Nemrhat aktivitou akademické obce </w:t>
      </w:r>
      <w:r w:rsidR="009415F2" w:rsidRPr="00E13F63">
        <w:rPr>
          <w:rFonts w:ascii="Arial Narrow" w:eastAsia="Times New Roman" w:hAnsi="Arial Narrow" w:cs="Times New Roman"/>
          <w:b/>
          <w:sz w:val="24"/>
          <w:szCs w:val="24"/>
        </w:rPr>
        <w:t>„</w:t>
      </w:r>
      <w:r w:rsidRPr="00E13F63">
        <w:rPr>
          <w:rFonts w:ascii="Arial Narrow" w:eastAsia="Times New Roman" w:hAnsi="Arial Narrow" w:cs="Times New Roman"/>
          <w:b/>
          <w:sz w:val="24"/>
          <w:szCs w:val="24"/>
        </w:rPr>
        <w:t>papírováním</w:t>
      </w:r>
      <w:r w:rsidR="009415F2" w:rsidRPr="00E13F63">
        <w:rPr>
          <w:rFonts w:ascii="Arial Narrow" w:eastAsia="Times New Roman" w:hAnsi="Arial Narrow" w:cs="Times New Roman"/>
          <w:b/>
          <w:sz w:val="24"/>
          <w:szCs w:val="24"/>
        </w:rPr>
        <w:t>“</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V akademické obci se šíří přesvědčení o rostoucí byrokracii na všech úrovních řízení (viz např. poslední změny v programu Erasmus; všudypřítomné „</w:t>
      </w:r>
      <w:proofErr w:type="spellStart"/>
      <w:r w:rsidRPr="00E13F63">
        <w:rPr>
          <w:rFonts w:ascii="Arial Narrow" w:eastAsia="Times New Roman" w:hAnsi="Arial Narrow" w:cs="Times New Roman"/>
          <w:i/>
          <w:sz w:val="24"/>
          <w:szCs w:val="24"/>
        </w:rPr>
        <w:t>time</w:t>
      </w:r>
      <w:proofErr w:type="spellEnd"/>
      <w:r w:rsidRPr="00E13F63">
        <w:rPr>
          <w:rFonts w:ascii="Arial Narrow" w:eastAsia="Times New Roman" w:hAnsi="Arial Narrow" w:cs="Times New Roman"/>
          <w:i/>
          <w:sz w:val="24"/>
          <w:szCs w:val="24"/>
        </w:rPr>
        <w:t xml:space="preserve"> </w:t>
      </w:r>
      <w:proofErr w:type="spellStart"/>
      <w:r w:rsidRPr="00E13F63">
        <w:rPr>
          <w:rFonts w:ascii="Arial Narrow" w:eastAsia="Times New Roman" w:hAnsi="Arial Narrow" w:cs="Times New Roman"/>
          <w:i/>
          <w:sz w:val="24"/>
          <w:szCs w:val="24"/>
        </w:rPr>
        <w:t>sheety</w:t>
      </w:r>
      <w:proofErr w:type="spellEnd"/>
      <w:r w:rsidRPr="00E13F63">
        <w:rPr>
          <w:rFonts w:ascii="Arial Narrow" w:eastAsia="Times New Roman" w:hAnsi="Arial Narrow" w:cs="Times New Roman"/>
          <w:i/>
          <w:sz w:val="24"/>
          <w:szCs w:val="24"/>
        </w:rPr>
        <w:t>“ u projektů, které dříve nebyly zapotřebí; zpřesňování výkaznictví u RIV bodů aj.). Rostou pocity neodůvodněného mrhání energií a časem kvalifikovaných akademických pracovníků a studentů. To ubíjí v řadě případů cennou iniciativu zdola a zvyšuje nedůvěru v systém řízení.</w:t>
      </w:r>
    </w:p>
    <w:p w:rsidR="009415F2" w:rsidRPr="00E13F63" w:rsidRDefault="009415F2"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i/>
          <w:sz w:val="24"/>
          <w:szCs w:val="24"/>
        </w:rPr>
        <w:t>Zkratkou „papírování“ v nadpis</w:t>
      </w:r>
      <w:r w:rsidR="00FD3942" w:rsidRPr="00E13F63">
        <w:rPr>
          <w:rFonts w:ascii="Arial Narrow" w:eastAsia="Times New Roman" w:hAnsi="Arial Narrow" w:cs="Times New Roman"/>
          <w:i/>
          <w:sz w:val="24"/>
          <w:szCs w:val="24"/>
        </w:rPr>
        <w:t>u</w:t>
      </w:r>
      <w:r w:rsidRPr="00E13F63">
        <w:rPr>
          <w:rFonts w:ascii="Arial Narrow" w:eastAsia="Times New Roman" w:hAnsi="Arial Narrow" w:cs="Times New Roman"/>
          <w:i/>
          <w:sz w:val="24"/>
          <w:szCs w:val="24"/>
        </w:rPr>
        <w:t xml:space="preserve">, tak často používané v akademické obci, se myslí </w:t>
      </w:r>
      <w:r w:rsidR="00FD3942" w:rsidRPr="00E13F63">
        <w:rPr>
          <w:rFonts w:ascii="Arial Narrow" w:eastAsia="Times New Roman" w:hAnsi="Arial Narrow" w:cs="Times New Roman"/>
          <w:i/>
          <w:sz w:val="24"/>
          <w:szCs w:val="24"/>
        </w:rPr>
        <w:t xml:space="preserve">zejména </w:t>
      </w:r>
      <w:r w:rsidR="00FD3942" w:rsidRPr="00E13F63">
        <w:rPr>
          <w:rFonts w:ascii="Arial Narrow" w:hAnsi="Arial Narrow" w:cs="Times New Roman"/>
          <w:i/>
          <w:sz w:val="24"/>
          <w:szCs w:val="24"/>
        </w:rPr>
        <w:t>neúčinné a zbytečné administrativní postupy.</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Dopady: </w:t>
      </w:r>
      <w:r w:rsidRPr="00E13F63">
        <w:rPr>
          <w:rFonts w:ascii="Arial Narrow" w:eastAsia="Times New Roman" w:hAnsi="Arial Narrow" w:cs="Times New Roman"/>
          <w:i/>
          <w:sz w:val="24"/>
          <w:szCs w:val="24"/>
        </w:rPr>
        <w:t xml:space="preserve">Požadavky kontrol často kladené na akademickou obec se nezdají být úměrné požadavkům kladeným na složky řízení, které za kontroly zodpovídají. Kontroly projektů tak začínají být spojeny </w:t>
      </w:r>
      <w:r w:rsidRPr="00E13F63">
        <w:rPr>
          <w:rFonts w:ascii="Arial Narrow" w:eastAsia="Times New Roman" w:hAnsi="Arial Narrow" w:cs="Times New Roman"/>
          <w:i/>
          <w:sz w:val="24"/>
          <w:szCs w:val="24"/>
        </w:rPr>
        <w:lastRenderedPageBreak/>
        <w:t>s riziky, kter</w:t>
      </w:r>
      <w:r w:rsidR="009578E3">
        <w:rPr>
          <w:rFonts w:ascii="Arial Narrow" w:eastAsia="Times New Roman" w:hAnsi="Arial Narrow" w:cs="Times New Roman"/>
          <w:i/>
          <w:sz w:val="24"/>
          <w:szCs w:val="24"/>
        </w:rPr>
        <w:t>á</w:t>
      </w:r>
      <w:r w:rsidRPr="00E13F63">
        <w:rPr>
          <w:rFonts w:ascii="Arial Narrow" w:eastAsia="Times New Roman" w:hAnsi="Arial Narrow" w:cs="Times New Roman"/>
          <w:i/>
          <w:sz w:val="24"/>
          <w:szCs w:val="24"/>
        </w:rPr>
        <w:t xml:space="preserve"> akademičtí pracovníci, jež si není vhodné plést s burzovními spekulanty, budou ve stále menším počtu ochotni podstupovat. Zejména v případech, kdy některé projektové financování budí dojem, že přidělené prostředky budou později, a to z pohledu akademické obce na základě měnících se a nesplnitelných požadavků, odebrány, včetně penalizace.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Optimistickým scénářem je využít snahy VŠ zmiňujících priority zaměřené na snižování byrokracie a podpořit je, včetně realizace novely VŠ zákona. Pesimistickým scénářem je rezignovat na tyto změny a nevyvracet v  akademické obci dojem, že je pro členy akademické obce vhodnější VŠ aktivity omezovat, protože „kdo nic nedělá, nic nepokazí“. Důsledkem pak v souvislosti s podfinancováním VŠ může být přesun aktivit členů akademické obce podobně jako v devadesátých letech do aktivit mimo VŠ, a to tentokrát nejen do soukromého sektoru, ale i do zahraniční spolupráce.</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Zdroje řešení:</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Většina členů akademické obce si uvědomuje, že stávající stupeň a organizace papírování a kontrol začíná pohlcovat stále více času, který by byl potřeba na hlavní činnosti VŠ. Proto je pochopitelně i v bilanci zdrojů, rizicích a prioritách opakovaná pozornost věnována redukci byrokracie.</w:t>
      </w:r>
    </w:p>
    <w:p w:rsidR="008B3D10" w:rsidRPr="00E13F63" w:rsidRDefault="00AF6C0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hAnsi="Arial Narrow" w:cs="Times New Roman"/>
          <w:i/>
          <w:sz w:val="24"/>
          <w:szCs w:val="24"/>
        </w:rPr>
      </w:pPr>
      <w:r w:rsidRPr="00E13F63">
        <w:rPr>
          <w:rFonts w:ascii="Arial Narrow" w:eastAsia="Times New Roman" w:hAnsi="Arial Narrow" w:cs="Times New Roman"/>
          <w:b/>
          <w:sz w:val="24"/>
          <w:szCs w:val="24"/>
        </w:rPr>
        <w:t xml:space="preserve">Doplnění: </w:t>
      </w:r>
      <w:r w:rsidRPr="00E13F63">
        <w:rPr>
          <w:rFonts w:ascii="Arial Narrow" w:hAnsi="Arial Narrow" w:cs="Times New Roman"/>
          <w:i/>
          <w:sz w:val="24"/>
          <w:szCs w:val="24"/>
        </w:rPr>
        <w:t>Do možností řešení doplňujeme ještě  profesionalizaci služeb a promyšlenou informační podporu se zásadami typu „pořizujeme jen data, která skutečně a prokazatelně potřebujeme“ a „pořízená data jsou plně využita, a to i pro různé účely, jsou tedy sdílena“ atd.</w:t>
      </w:r>
    </w:p>
    <w:p w:rsidR="003B39C0"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3B39C0"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t>Bod 5: Soustředění na všeobecně akceptovatelné výstupy – kvalitu absolventů</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 xml:space="preserve">Diskutované problémy VŠ většinou chápou ti, kteří jsou do problematiky zasvěceni. Často se liší v názorech na řešení (viz různá reformní úsilí minulých let).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Dopady: </w:t>
      </w:r>
      <w:r w:rsidRPr="00E13F63">
        <w:rPr>
          <w:rFonts w:ascii="Arial Narrow" w:eastAsia="Times New Roman" w:hAnsi="Arial Narrow" w:cs="Times New Roman"/>
          <w:i/>
          <w:sz w:val="24"/>
          <w:szCs w:val="24"/>
        </w:rPr>
        <w:t xml:space="preserve"> Je otázkou, zda a jak je s problémy seznámena veřejnost, jaký je její postoj a jaký by byl při pokusech o všeobecně přijímaná řešení i s ohledem na jistou exkluzivitu VŠ vzdělávání a na odtažitost některých odborných disku</w:t>
      </w:r>
      <w:r w:rsidR="009578E3">
        <w:rPr>
          <w:rFonts w:ascii="Arial Narrow" w:eastAsia="Times New Roman" w:hAnsi="Arial Narrow" w:cs="Times New Roman"/>
          <w:i/>
          <w:sz w:val="24"/>
          <w:szCs w:val="24"/>
        </w:rPr>
        <w:t>z</w:t>
      </w:r>
      <w:r w:rsidRPr="00E13F63">
        <w:rPr>
          <w:rFonts w:ascii="Arial Narrow" w:eastAsia="Times New Roman" w:hAnsi="Arial Narrow" w:cs="Times New Roman"/>
          <w:i/>
          <w:sz w:val="24"/>
          <w:szCs w:val="24"/>
        </w:rPr>
        <w:t>í pro veřejnost (podstatná část neinformované veřejnosti obvykle nedocení např. význam impaktovaných publikací, h-indexu aj.; naopak se až „</w:t>
      </w:r>
      <w:proofErr w:type="spellStart"/>
      <w:r w:rsidRPr="00E13F63">
        <w:rPr>
          <w:rFonts w:ascii="Arial Narrow" w:eastAsia="Times New Roman" w:hAnsi="Arial Narrow" w:cs="Times New Roman"/>
          <w:i/>
          <w:sz w:val="24"/>
          <w:szCs w:val="24"/>
        </w:rPr>
        <w:t>čapkovsky</w:t>
      </w:r>
      <w:proofErr w:type="spellEnd"/>
      <w:r w:rsidRPr="00E13F63">
        <w:rPr>
          <w:rFonts w:ascii="Arial Narrow" w:eastAsia="Times New Roman" w:hAnsi="Arial Narrow" w:cs="Times New Roman"/>
          <w:i/>
          <w:sz w:val="24"/>
          <w:szCs w:val="24"/>
        </w:rPr>
        <w:t xml:space="preserve">“ ptá na tvorbu něčeho užitečného, tj. na návratnost vložených daní prostřednictvím vývoje a inovací).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 xml:space="preserve">Situaci může logicky napomoci nejen vysvětlování, ale též podpora popularizace včetně důrazu na prezentaci dotažených </w:t>
      </w:r>
      <w:r w:rsidR="009E5C0E" w:rsidRPr="00E13F63">
        <w:rPr>
          <w:rFonts w:ascii="Arial Narrow" w:eastAsia="Times New Roman" w:hAnsi="Arial Narrow" w:cs="Times New Roman"/>
          <w:i/>
          <w:sz w:val="24"/>
          <w:szCs w:val="24"/>
        </w:rPr>
        <w:t>výsledků</w:t>
      </w:r>
      <w:r w:rsidRPr="00E13F63">
        <w:rPr>
          <w:rFonts w:ascii="Arial Narrow" w:eastAsia="Times New Roman" w:hAnsi="Arial Narrow" w:cs="Times New Roman"/>
          <w:i/>
          <w:sz w:val="24"/>
          <w:szCs w:val="24"/>
        </w:rPr>
        <w:t xml:space="preserve">. Naprosto srozumitelný je ale důraz na výstupy, které jsou srozumitelné pro všechny. VŠ s kvalitními absolventy je doceňována všemi partnery včetně široké </w:t>
      </w:r>
      <w:r w:rsidRPr="00E13F63">
        <w:rPr>
          <w:rFonts w:ascii="Arial Narrow" w:eastAsia="Times New Roman" w:hAnsi="Arial Narrow" w:cs="Times New Roman"/>
          <w:i/>
          <w:sz w:val="24"/>
          <w:szCs w:val="24"/>
        </w:rPr>
        <w:lastRenderedPageBreak/>
        <w:t xml:space="preserve">veřejnosti. Akcentace tohoto řešení samozřejmě souvisí s podpůrnými prioritami, mezi které mohou patřit i ty pro veřejnost méně pochopitelné.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Z úrovně MŠMT lze navázat na priority VŠ a zabezpečit odpovídajícím způsobem projektově potřebné zdroje dle jejich bilance (kvalita absolventů se často opakuje; vyskytuje se důraz na komunikační strategie a působení na veřejnost – třetí role aj.).</w:t>
      </w:r>
    </w:p>
    <w:p w:rsidR="00B85C5E"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3B39C0" w:rsidRPr="00E13F63"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t>Bod 6: Podpora mezinárodní konkurenceschopnosti a komparativních výhod</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Mezinárodní konkurenceschopnost je dosud spíše uplatňována z pohledu posilování zásadní kompatibility VŠ v ČR (tj. boloňský proces, OECD sledované charakteristiky, medializované mezinárodní žebříčky VŠ, úspěšnost v EU projektech aj.).</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Dopady: </w:t>
      </w:r>
      <w:r w:rsidRPr="00E13F63">
        <w:rPr>
          <w:rFonts w:ascii="Arial Narrow" w:eastAsia="Times New Roman" w:hAnsi="Arial Narrow" w:cs="Times New Roman"/>
          <w:i/>
          <w:sz w:val="24"/>
          <w:szCs w:val="24"/>
        </w:rPr>
        <w:t xml:space="preserve">Rostoucí kompatibilita VŠ v ČR při existujícím podfinancování VŠ v ČR může být výhodná pro talentované jednotlivce, protože se jim ve větší míře mohou otevírat VŠ studia na prestižních VŠ v zahraničí, z obecného hlediska může být ČR </w:t>
      </w:r>
      <w:r w:rsidR="00395FF4">
        <w:rPr>
          <w:rFonts w:ascii="Arial Narrow" w:eastAsia="Times New Roman" w:hAnsi="Arial Narrow" w:cs="Times New Roman"/>
          <w:i/>
          <w:sz w:val="24"/>
          <w:szCs w:val="24"/>
        </w:rPr>
        <w:t xml:space="preserve">takto </w:t>
      </w:r>
      <w:r w:rsidRPr="00E13F63">
        <w:rPr>
          <w:rFonts w:ascii="Arial Narrow" w:eastAsia="Times New Roman" w:hAnsi="Arial Narrow" w:cs="Times New Roman"/>
          <w:i/>
          <w:sz w:val="24"/>
          <w:szCs w:val="24"/>
        </w:rPr>
        <w:t>negativně postižena efektem tzv. „brain drain“ ve svůj neprospěch, který je zatím kompenzován přílivem talentovaných studentů ze SR</w:t>
      </w:r>
      <w:r w:rsidR="00395FF4">
        <w:rPr>
          <w:rFonts w:ascii="Arial Narrow" w:eastAsia="Times New Roman" w:hAnsi="Arial Narrow" w:cs="Times New Roman"/>
          <w:i/>
          <w:sz w:val="24"/>
          <w:szCs w:val="24"/>
        </w:rPr>
        <w:t xml:space="preserve"> a ze zahraničí (východní Evropa) podle srovnání MŠMT (roky 2010-2014)</w:t>
      </w:r>
      <w:r w:rsidRPr="00E13F63">
        <w:rPr>
          <w:rFonts w:ascii="Arial Narrow" w:eastAsia="Times New Roman" w:hAnsi="Arial Narrow" w:cs="Times New Roman"/>
          <w:i/>
          <w:sz w:val="24"/>
          <w:szCs w:val="24"/>
        </w:rPr>
        <w:t>. S</w:t>
      </w:r>
      <w:r w:rsidR="00395FF4">
        <w:rPr>
          <w:rFonts w:ascii="Arial Narrow" w:eastAsia="Times New Roman" w:hAnsi="Arial Narrow" w:cs="Times New Roman"/>
          <w:i/>
          <w:sz w:val="24"/>
          <w:szCs w:val="24"/>
        </w:rPr>
        <w:t> </w:t>
      </w:r>
      <w:r w:rsidRPr="00E13F63">
        <w:rPr>
          <w:rFonts w:ascii="Arial Narrow" w:eastAsia="Times New Roman" w:hAnsi="Arial Narrow" w:cs="Times New Roman"/>
          <w:i/>
          <w:sz w:val="24"/>
          <w:szCs w:val="24"/>
        </w:rPr>
        <w:t>ohledem</w:t>
      </w:r>
      <w:r w:rsidR="00395FF4">
        <w:rPr>
          <w:rFonts w:ascii="Arial Narrow" w:eastAsia="Times New Roman" w:hAnsi="Arial Narrow" w:cs="Times New Roman"/>
          <w:i/>
          <w:sz w:val="24"/>
          <w:szCs w:val="24"/>
        </w:rPr>
        <w:t xml:space="preserve"> </w:t>
      </w:r>
      <w:r w:rsidRPr="00E13F63">
        <w:rPr>
          <w:rFonts w:ascii="Arial Narrow" w:eastAsia="Times New Roman" w:hAnsi="Arial Narrow" w:cs="Times New Roman"/>
          <w:i/>
          <w:sz w:val="24"/>
          <w:szCs w:val="24"/>
        </w:rPr>
        <w:t xml:space="preserve">na </w:t>
      </w:r>
      <w:r w:rsidR="00395FF4">
        <w:rPr>
          <w:rFonts w:ascii="Arial Narrow" w:eastAsia="Times New Roman" w:hAnsi="Arial Narrow" w:cs="Times New Roman"/>
          <w:i/>
          <w:sz w:val="24"/>
          <w:szCs w:val="24"/>
        </w:rPr>
        <w:t xml:space="preserve">eskalující </w:t>
      </w:r>
      <w:r w:rsidRPr="00E13F63">
        <w:rPr>
          <w:rFonts w:ascii="Arial Narrow" w:eastAsia="Times New Roman" w:hAnsi="Arial Narrow" w:cs="Times New Roman"/>
          <w:i/>
          <w:sz w:val="24"/>
          <w:szCs w:val="24"/>
        </w:rPr>
        <w:t xml:space="preserve">mezinárodní situaci na východ od ČR </w:t>
      </w:r>
      <w:r w:rsidR="00395FF4">
        <w:rPr>
          <w:rFonts w:ascii="Arial Narrow" w:eastAsia="Times New Roman" w:hAnsi="Arial Narrow" w:cs="Times New Roman"/>
          <w:i/>
          <w:sz w:val="24"/>
          <w:szCs w:val="24"/>
        </w:rPr>
        <w:t xml:space="preserve">(2014-2015) s obtížně předvídatelnými dopady </w:t>
      </w:r>
      <w:r w:rsidRPr="00E13F63">
        <w:rPr>
          <w:rFonts w:ascii="Arial Narrow" w:eastAsia="Times New Roman" w:hAnsi="Arial Narrow" w:cs="Times New Roman"/>
          <w:i/>
          <w:sz w:val="24"/>
          <w:szCs w:val="24"/>
        </w:rPr>
        <w:t xml:space="preserve">a s ohledem na jasné preference talentovaných studentů z anglicky mluvících zemí </w:t>
      </w:r>
      <w:r w:rsidR="00395FF4">
        <w:rPr>
          <w:rFonts w:ascii="Arial Narrow" w:eastAsia="Times New Roman" w:hAnsi="Arial Narrow" w:cs="Times New Roman"/>
          <w:i/>
          <w:sz w:val="24"/>
          <w:szCs w:val="24"/>
        </w:rPr>
        <w:t xml:space="preserve">ve prospěch univerzit v USA a UK </w:t>
      </w:r>
      <w:r w:rsidRPr="00E13F63">
        <w:rPr>
          <w:rFonts w:ascii="Arial Narrow" w:eastAsia="Times New Roman" w:hAnsi="Arial Narrow" w:cs="Times New Roman"/>
          <w:i/>
          <w:sz w:val="24"/>
          <w:szCs w:val="24"/>
        </w:rPr>
        <w:t xml:space="preserve">se jedná </w:t>
      </w:r>
      <w:r w:rsidR="00395FF4">
        <w:rPr>
          <w:rFonts w:ascii="Arial Narrow" w:eastAsia="Times New Roman" w:hAnsi="Arial Narrow" w:cs="Times New Roman"/>
          <w:i/>
          <w:sz w:val="24"/>
          <w:szCs w:val="24"/>
        </w:rPr>
        <w:t xml:space="preserve">sice zatím </w:t>
      </w:r>
      <w:r w:rsidRPr="00E13F63">
        <w:rPr>
          <w:rFonts w:ascii="Arial Narrow" w:eastAsia="Times New Roman" w:hAnsi="Arial Narrow" w:cs="Times New Roman"/>
          <w:i/>
          <w:sz w:val="24"/>
          <w:szCs w:val="24"/>
        </w:rPr>
        <w:t>o skrytý, a</w:t>
      </w:r>
      <w:r w:rsidR="00395FF4">
        <w:rPr>
          <w:rFonts w:ascii="Arial Narrow" w:eastAsia="Times New Roman" w:hAnsi="Arial Narrow" w:cs="Times New Roman"/>
          <w:i/>
          <w:sz w:val="24"/>
          <w:szCs w:val="24"/>
        </w:rPr>
        <w:t>le potenciálně rostoucí problém, kdy odchod talentů na zahraniční univerzity v USA a EU nemusí být adekvátně kompenzován příchodem studentů z jiných zemí do ČR.</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Jako vhodný se jeví rozvoj důsledné podpory projektů zaměřených na talentované studenty a na internacionalizaci VŠ studia v ČR (mimo jiné viz programy joint-degree, double diploma aj.). Dosud opomíjenou možností se jeví rozbor konkurenceschopnosti VŠ oborů v ČR a cílená podpora těch mezinárodně konkurenceschopných. To se dosud v ČR neděje z pochopitelných důvodů vyvažování zájmů VŠ. Rizikem takové podpory může být následná ztráta absolventů ve prospěch zahraničí bez zpětného (i ekonomického) přínosu pro ČR (viz např. lékařské obory). Je proto vhodné řešit nejen v rámci MŠMT, ale i na úrovni vládních priorit.</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 xml:space="preserve">V rámci strategických priorit a je podporující bilanci zdrojů VŠ této problematice (internacionalizace, kvalita studia, kvalita absolventů) věnují značnou pozornost, a tedy lze očekávat, že </w:t>
      </w:r>
      <w:r w:rsidRPr="00E13F63">
        <w:rPr>
          <w:rFonts w:ascii="Arial Narrow" w:eastAsia="Times New Roman" w:hAnsi="Arial Narrow" w:cs="Times New Roman"/>
          <w:i/>
          <w:sz w:val="24"/>
          <w:szCs w:val="24"/>
        </w:rPr>
        <w:lastRenderedPageBreak/>
        <w:t>úsilí MŠMT tímto směrem bude vítáno, akceptováno a podporováno, a tedy by mohlo vést k úspěchům při řešení.</w:t>
      </w:r>
    </w:p>
    <w:p w:rsidR="00B85C5E"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3B39C0" w:rsidRPr="00E13F63"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t>Bod 7: Zlepšit sběr dat a zdokonalit hodnotící metody</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 xml:space="preserve">MŠMT v posledním období ve svých strategických podkladech klade důraz na zlepšení v oblasti sběru strategicky důležitých dat a na jejich zpracování.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Důsledky: </w:t>
      </w:r>
      <w:r w:rsidRPr="00E13F63">
        <w:rPr>
          <w:rFonts w:ascii="Arial Narrow" w:eastAsia="Times New Roman" w:hAnsi="Arial Narrow" w:cs="Times New Roman"/>
          <w:i/>
          <w:sz w:val="24"/>
          <w:szCs w:val="24"/>
        </w:rPr>
        <w:t>Podpora zlepšení sběru věrohodných dat je poměrně široká na všech úrovních (s výhradami vůči riziku větší administrativní zátěže), disku</w:t>
      </w:r>
      <w:r w:rsidR="00DD5570">
        <w:rPr>
          <w:rFonts w:ascii="Arial Narrow" w:eastAsia="Times New Roman" w:hAnsi="Arial Narrow" w:cs="Times New Roman"/>
          <w:i/>
          <w:sz w:val="24"/>
          <w:szCs w:val="24"/>
        </w:rPr>
        <w:t>z</w:t>
      </w:r>
      <w:r w:rsidRPr="00E13F63">
        <w:rPr>
          <w:rFonts w:ascii="Arial Narrow" w:eastAsia="Times New Roman" w:hAnsi="Arial Narrow" w:cs="Times New Roman"/>
          <w:i/>
          <w:sz w:val="24"/>
          <w:szCs w:val="24"/>
        </w:rPr>
        <w:t>e zatím ale příliš neprobíhá ve směru dosažení odpovídající kvality hodnotících výpočtových modelů. Ilustrativní mohou být průběžné výsledky disku</w:t>
      </w:r>
      <w:r w:rsidR="00DD5570">
        <w:rPr>
          <w:rFonts w:ascii="Arial Narrow" w:eastAsia="Times New Roman" w:hAnsi="Arial Narrow" w:cs="Times New Roman"/>
          <w:i/>
          <w:sz w:val="24"/>
          <w:szCs w:val="24"/>
        </w:rPr>
        <w:t>z</w:t>
      </w:r>
      <w:r w:rsidRPr="00E13F63">
        <w:rPr>
          <w:rFonts w:ascii="Arial Narrow" w:eastAsia="Times New Roman" w:hAnsi="Arial Narrow" w:cs="Times New Roman"/>
          <w:i/>
          <w:sz w:val="24"/>
          <w:szCs w:val="24"/>
        </w:rPr>
        <w:t xml:space="preserve">í k tzv. „kafemlejnku“ a k principiálním změnám hodnocení tvůrčí činnosti, upozorňující už nyní na možná nová rizika změn (utajenost, neprůhlednost a nákladnost hodnocení sloužícího de facto k tlumení institucionálního podfinancování aj.). Jako podstatnější riziko se jeví trvající používání lineárních funkcí pro agregaci hodnotících ukazatelů, které jsou sice výhodně </w:t>
      </w:r>
      <w:proofErr w:type="spellStart"/>
      <w:r w:rsidRPr="00E13F63">
        <w:rPr>
          <w:rFonts w:ascii="Arial Narrow" w:eastAsia="Times New Roman" w:hAnsi="Arial Narrow" w:cs="Times New Roman"/>
          <w:i/>
          <w:sz w:val="24"/>
          <w:szCs w:val="24"/>
        </w:rPr>
        <w:t>separovatelné</w:t>
      </w:r>
      <w:proofErr w:type="spellEnd"/>
      <w:r w:rsidRPr="00E13F63">
        <w:rPr>
          <w:rFonts w:ascii="Arial Narrow" w:eastAsia="Times New Roman" w:hAnsi="Arial Narrow" w:cs="Times New Roman"/>
          <w:i/>
          <w:sz w:val="24"/>
          <w:szCs w:val="24"/>
        </w:rPr>
        <w:t xml:space="preserve"> (a díky tomu pak lze dělit prostředky dále podle výkonů na součásti VŠ), ale zároveň podporují při současném podfinancování alokaci finančních zdrojů VŠ pouze na několik „nejvýnosnějších“ priorit a skrývají riziko tlaku na přílišné zúžení aktivit VŠ (nepřímá podpora tzv. „</w:t>
      </w:r>
      <w:proofErr w:type="spellStart"/>
      <w:r w:rsidRPr="00E13F63">
        <w:rPr>
          <w:rFonts w:ascii="Arial Narrow" w:eastAsia="Times New Roman" w:hAnsi="Arial Narrow" w:cs="Times New Roman"/>
          <w:i/>
          <w:sz w:val="24"/>
          <w:szCs w:val="24"/>
        </w:rPr>
        <w:t>fachidiocie</w:t>
      </w:r>
      <w:proofErr w:type="spellEnd"/>
      <w:r w:rsidRPr="00E13F63">
        <w:rPr>
          <w:rFonts w:ascii="Arial Narrow" w:eastAsia="Times New Roman" w:hAnsi="Arial Narrow" w:cs="Times New Roman"/>
          <w:i/>
          <w:sz w:val="24"/>
          <w:szCs w:val="24"/>
        </w:rPr>
        <w:t xml:space="preserve">“).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Podpořit důraz na kvalitní sběr dat faktickými kroky i v jednání s dalšími ministerstvy (viz např. pověstné disku</w:t>
      </w:r>
      <w:r w:rsidR="00DD5570">
        <w:rPr>
          <w:rFonts w:ascii="Arial Narrow" w:eastAsia="Times New Roman" w:hAnsi="Arial Narrow" w:cs="Times New Roman"/>
          <w:i/>
          <w:sz w:val="24"/>
          <w:szCs w:val="24"/>
        </w:rPr>
        <w:t>z</w:t>
      </w:r>
      <w:r w:rsidRPr="00E13F63">
        <w:rPr>
          <w:rFonts w:ascii="Arial Narrow" w:eastAsia="Times New Roman" w:hAnsi="Arial Narrow" w:cs="Times New Roman"/>
          <w:i/>
          <w:sz w:val="24"/>
          <w:szCs w:val="24"/>
        </w:rPr>
        <w:t>e k ukazateli nezaměstnanosti a k možnostem získávání kvalitnějších dat) a věnovat zásadní pozornost vývoji adekvátních hodnoticích metod, které budou především podporovat „portfoliový přístup“ k činnosti na jednotlivých VŠ. Nelpět na (byť pochopitelné) představě, která se občas objevuje ve vysokém školství, že nejsprávnější je do budoucna desítky miliard pro VŠ (pro všechny oblasti činnosti) rozdělit pokud možno pomocí nějaké (tzv. všem srozumitelné) „trojčlenky“. Důsledky používání „degenerovaných“ a zjednodušených modelů, případně jejich zjednodušené interpretace, jsou zejména v oblasti finančních investic pro oblasti, kde má být dosažen dlouhodobý a stabilizovaný výnos při minimalizaci rizik jeho kolísání (analogické vysokému školství), již celkem notoricky známé. Není jasné, proč by se tato zkušenost měla získávat znovu i ve vysokém školství ČR.</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 xml:space="preserve">Lze se poměrně dobře opřít o návrhy VŠ, které většinově (viz četnosti oblastí priorit) plánují více (cca 10) zdrojově vzájemně propojených a vnitřně strukturovaných strategických priorit. </w:t>
      </w:r>
    </w:p>
    <w:p w:rsidR="00B85C5E"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3B39C0"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3B39C0"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3B39C0"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3B39C0" w:rsidRPr="00E13F63"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t>Bod 8: Podporovat robustnost systému prostřednictvím synergie aktivit 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Klady vyplývající ze synergie aktivit jsou většinou skloňovány v nejrůznějších textech. Podpora synergie aktivit se ale již tolik nepromítá do hodnocení a legislativních kroků a plyne spíše z tradic a dlouhodobého působení MŠMT a 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Důsledky: </w:t>
      </w:r>
      <w:r w:rsidRPr="00E13F63">
        <w:rPr>
          <w:rFonts w:ascii="Arial Narrow" w:eastAsia="Times New Roman" w:hAnsi="Arial Narrow" w:cs="Times New Roman"/>
          <w:i/>
          <w:sz w:val="24"/>
          <w:szCs w:val="24"/>
        </w:rPr>
        <w:t>Proto (viz podrobněji pojatý bod 7) aktuální postupy spíše fakticky bezprostředně působí proti synergii aktivit VŠ a ve prospěch jejich odděleného rozvoje. Setrvačnost působení tradic je zde významná, změny nejsou zatím příliš zřetelné, a to i přes tlak podfinancovaného systému a přes dopady jeho pravidel (viz např. promítnutí kritizovaného hodnocení RIV do 3 finančních zdrojů VŠ ve srovnání s financováním výuky, nízkými doktorskými stipendii, nízkým financováním péče o talenty, z nákladového hlediska zanedbatelnou finanční podporou internacionalizace výuky aj.).</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Podporovat synergicky působící aktivity. Jednak důležitost synergie (a interakcí) aktivit uvádět ve strategických textech, a dále se zaměřit na pravidla financování včetně projektů (viz např. podpora promítání výsledků tvůrčích aktivit do výuky, zapojování talentovaných studentů do výzkumu aj).</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Využít existujících interakcí priorit a zdrojů již prezentovaných VŠ, podrobněji analyzovat a uplatňovat další možnosti synergií.</w:t>
      </w:r>
    </w:p>
    <w:p w:rsidR="00AF6C00" w:rsidRPr="00E13F63" w:rsidRDefault="00AF6C00" w:rsidP="00AF6C00">
      <w:pPr>
        <w:jc w:val="both"/>
        <w:rPr>
          <w:rFonts w:ascii="Arial Narrow" w:hAnsi="Arial Narrow" w:cs="Times New Roman"/>
          <w:b/>
          <w:bCs/>
          <w:sz w:val="24"/>
          <w:szCs w:val="24"/>
        </w:rPr>
      </w:pPr>
      <w:r w:rsidRPr="00E13F63">
        <w:rPr>
          <w:rFonts w:ascii="Arial Narrow" w:eastAsia="Times New Roman" w:hAnsi="Arial Narrow" w:cs="Times New Roman"/>
          <w:b/>
          <w:sz w:val="24"/>
          <w:szCs w:val="24"/>
        </w:rPr>
        <w:t>Doplnění z komentáře K</w:t>
      </w:r>
      <w:r w:rsidRPr="00E13F63">
        <w:rPr>
          <w:rFonts w:ascii="Arial Narrow" w:eastAsia="Times New Roman" w:hAnsi="Arial Narrow" w:cs="Times New Roman"/>
          <w:b/>
          <w:sz w:val="24"/>
          <w:szCs w:val="24"/>
          <w:lang w:val="en-US"/>
        </w:rPr>
        <w:t>04</w:t>
      </w:r>
      <w:r w:rsidRPr="00E13F63">
        <w:rPr>
          <w:rFonts w:ascii="Arial Narrow" w:eastAsia="Times New Roman" w:hAnsi="Arial Narrow" w:cs="Times New Roman"/>
          <w:b/>
          <w:sz w:val="24"/>
          <w:szCs w:val="24"/>
        </w:rPr>
        <w:t>: „</w:t>
      </w:r>
      <w:r w:rsidRPr="00E13F63">
        <w:rPr>
          <w:rFonts w:ascii="Arial Narrow" w:hAnsi="Arial Narrow" w:cs="Times New Roman"/>
          <w:sz w:val="24"/>
          <w:szCs w:val="24"/>
        </w:rPr>
        <w:t>Otázka synergií všech tří rolí vysoké školy je zásadní. Je to i významná přednost a potenciální zdroj efektivity ve srovnání s institucemi, které se orientují jen na některou ze tří rolí. Ovšem mělo by být ponecháno na vysoké škole, jak vysoká budou doktorská stipendia, jak bude pečovat o talenty apod. Uvedena je zmínka o problematickém promítnutí RIV do alokačních postupů, a to ve srovnání s financováním výuky. Řešení vidíme ve značné volnosti pro rozhodování vysoké školy při využití zdrojů (samozřejmě při zachování efektivnosti a transparentnosti). Naopak nežádoucí cestou je vytváření svazujících pravidel pro jednotlivé části rozpočtu.</w:t>
      </w:r>
      <w:r w:rsidRPr="00E13F63">
        <w:rPr>
          <w:rFonts w:ascii="Arial Narrow" w:hAnsi="Arial Narrow" w:cs="Times New Roman"/>
          <w:b/>
          <w:bCs/>
          <w:sz w:val="24"/>
          <w:szCs w:val="24"/>
        </w:rPr>
        <w:t xml:space="preserve"> </w:t>
      </w:r>
      <w:r w:rsidRPr="00E13F63">
        <w:rPr>
          <w:rFonts w:ascii="Arial Narrow" w:hAnsi="Arial Narrow" w:cs="Times New Roman"/>
          <w:sz w:val="24"/>
          <w:szCs w:val="24"/>
        </w:rPr>
        <w:t>Schopnost škol citlivě a rychle reagovat na změny trendů je zmíněna i v bodu 7 pro VŠ - to ukazuje na to, že změny ve struktuře financování VŠ jsou poměrně efektivním nástrojem řízení (resp. strategického směrování) chodu VŠ nehledě na jejich volnost. Toto určuje důležitost toho, jak bude nastaveno financování VŠ s ohledem na jejich budoucí chování.“</w:t>
      </w:r>
    </w:p>
    <w:p w:rsidR="00AF6C00" w:rsidRPr="00E13F63" w:rsidRDefault="00AF6C0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lastRenderedPageBreak/>
        <w:t xml:space="preserve">Komentář autora textu: </w:t>
      </w:r>
      <w:r w:rsidRPr="00E13F63">
        <w:rPr>
          <w:rFonts w:ascii="Arial Narrow" w:eastAsia="Times New Roman" w:hAnsi="Arial Narrow" w:cs="Times New Roman"/>
          <w:i/>
          <w:sz w:val="24"/>
          <w:szCs w:val="24"/>
        </w:rPr>
        <w:t>Původní návrh nesměřuje ke svazujícím pravidlům, ale k zohlednění interakcí a synergií v pravidlech fina</w:t>
      </w:r>
      <w:r w:rsidR="00DD5570">
        <w:rPr>
          <w:rFonts w:ascii="Arial Narrow" w:eastAsia="Times New Roman" w:hAnsi="Arial Narrow" w:cs="Times New Roman"/>
          <w:i/>
          <w:sz w:val="24"/>
          <w:szCs w:val="24"/>
        </w:rPr>
        <w:t>n</w:t>
      </w:r>
      <w:r w:rsidRPr="00E13F63">
        <w:rPr>
          <w:rFonts w:ascii="Arial Narrow" w:eastAsia="Times New Roman" w:hAnsi="Arial Narrow" w:cs="Times New Roman"/>
          <w:i/>
          <w:sz w:val="24"/>
          <w:szCs w:val="24"/>
        </w:rPr>
        <w:t>cování tak, že dosavadní zaměření na „vážené průměry“ ukazatelů v kritériích, které zcela logicky z hlediska souvisejících matematických modelů působí proti motivaci pro synergii, bude doplněno i postižením synergií tak, aby jejich proklamovaná podpora byla v souladu s financováním.</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6A064C" w:rsidRDefault="006A064C"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t>Bod 9: Široká kvalitní vzdělanost versus ostrůvky excelence</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Před dřívějším důrazem na nadprůměrnou tradiční vzdělanost v českých zemích, která se zřejmě kladně podílela na dřívějších úspěších a uplatněních českých občanů (průmysl, emigrace aj.), je po období podpory masovosti VŠ vzdělání stále častěji kladen důraz ve strategických dokumentech na tzv. excelenci.</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Důsledky:</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 xml:space="preserve">Jedná se zřejmě o obvyklý vliv mezinárodního trendu na vývoj v ČR (důraz na excelenci, prezentace prof. </w:t>
      </w:r>
      <w:proofErr w:type="spellStart"/>
      <w:r w:rsidRPr="00E13F63">
        <w:rPr>
          <w:rFonts w:ascii="Arial Narrow" w:eastAsia="Times New Roman" w:hAnsi="Arial Narrow" w:cs="Times New Roman"/>
          <w:i/>
          <w:sz w:val="24"/>
          <w:szCs w:val="24"/>
        </w:rPr>
        <w:t>Haňky</w:t>
      </w:r>
      <w:proofErr w:type="spellEnd"/>
      <w:r w:rsidRPr="00E13F63">
        <w:rPr>
          <w:rFonts w:ascii="Arial Narrow" w:eastAsia="Times New Roman" w:hAnsi="Arial Narrow" w:cs="Times New Roman"/>
          <w:i/>
          <w:sz w:val="24"/>
          <w:szCs w:val="24"/>
        </w:rPr>
        <w:t xml:space="preserve"> v minulosti, příklady úspěchů elitních VŠ v UK a USA, mezinárodní spolupráce, návrat některých mezinárodně úspěšných odborníků do ČR) plus dopad mezinárodní úspěšnosti výsledků z ČR (viz prof. Holý), včetně získání projektů OP VaVpI. Roli zřejmě může hrát potřeba mezinárodně konkurenceschopného financování některých (nákladnějších zejména přírodovědných)</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 xml:space="preserve">oborů, které lze dosáhnout i přerozdělením od tzv. neúspěšných týmů k těm úspěšným. Předpokládá se, zřejmě politicky poutavě, že se takto objeví výsledky a týmy, které potáhnou celou ČR ekonomicky vpřed (viz dříve citovaný příběh finské Nokie svazovaný se vzděláním – dnes již spíše nepřekvapivě opomíjený). Srovnávání v podfinancovaném systému VŠ v ČR pak probíhá se všemi logickými nešvary (viz např. znevýhodňující normování mediánem do roku 2007 v hodnocení RIV bodů pro některé obory; viz snaha odborníků v jednom oboru se vyjadřovat k odbornosti mimo svůj obor – všudypřítomné </w:t>
      </w:r>
      <w:proofErr w:type="spellStart"/>
      <w:r w:rsidRPr="00E13F63">
        <w:rPr>
          <w:rFonts w:ascii="Arial Narrow" w:eastAsia="Times New Roman" w:hAnsi="Arial Narrow" w:cs="Times New Roman"/>
          <w:i/>
          <w:sz w:val="24"/>
          <w:szCs w:val="24"/>
        </w:rPr>
        <w:t>WoS</w:t>
      </w:r>
      <w:proofErr w:type="spellEnd"/>
      <w:r w:rsidRPr="00E13F63">
        <w:rPr>
          <w:rFonts w:ascii="Arial Narrow" w:eastAsia="Times New Roman" w:hAnsi="Arial Narrow" w:cs="Times New Roman"/>
          <w:i/>
          <w:sz w:val="24"/>
          <w:szCs w:val="24"/>
        </w:rPr>
        <w:t xml:space="preserve"> impakty, h-index, aj.).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 xml:space="preserve">S ohledem na to, že dnešní všestranné zdůrazňování excelence může vést díky přesycení společnosti touto další, módně vyznívající (ač jistě v jádru smysluplnou), vizí v blízké budoucnosti k náhradě dalším módním trendem, je otázkou politického rozhodnutí, zda „dosavadní nevysokou vzdělávací pyramidu“ bude vhodné při konstantním podfinancování VŠ v ČR nahradit spíše „novou vzdělávací vysokou excelentní televizní věží“.  Je celkem logické, že kombinované řešení (udržení pověsti ČR jako země s nadprůměrně vzdělanými pracovníky a existence excelentních skupin, </w:t>
      </w:r>
      <w:r w:rsidRPr="00E13F63">
        <w:rPr>
          <w:rFonts w:ascii="Arial Narrow" w:eastAsia="Times New Roman" w:hAnsi="Arial Narrow" w:cs="Times New Roman"/>
          <w:i/>
          <w:sz w:val="24"/>
          <w:szCs w:val="24"/>
        </w:rPr>
        <w:lastRenderedPageBreak/>
        <w:t xml:space="preserve">tj. postavení vysoké vzdělávací pyramidy s TV věží na jejím vrcholu) je sice z hlediska budoucnosti ČR zřejmě nejslibnější a nejrobustnější, ale při stávající úrovni trvajícího podfinancování nerealizovatelné. Proto se dá předpokládat řada střetů na všech úrovních a otevření ožehavých otázek, které opět chvíli nejsou diskutované (viz návratnost nákladů na VŠ i na excelenci; zda excelence je to, na co se všichni skládají, nebo to, co na sebe vydělá a dokáže podpořit i ostatní, a to v jakém časovém horizontu; jakou roli mají hrát různé hodnotící žebříčky a </w:t>
      </w:r>
      <w:proofErr w:type="spellStart"/>
      <w:r w:rsidRPr="00E13F63">
        <w:rPr>
          <w:rFonts w:ascii="Arial Narrow" w:eastAsia="Times New Roman" w:hAnsi="Arial Narrow" w:cs="Times New Roman"/>
          <w:i/>
          <w:sz w:val="24"/>
          <w:szCs w:val="24"/>
        </w:rPr>
        <w:t>scientometrické</w:t>
      </w:r>
      <w:proofErr w:type="spellEnd"/>
      <w:r w:rsidRPr="00E13F63">
        <w:rPr>
          <w:rFonts w:ascii="Arial Narrow" w:eastAsia="Times New Roman" w:hAnsi="Arial Narrow" w:cs="Times New Roman"/>
          <w:i/>
          <w:sz w:val="24"/>
          <w:szCs w:val="24"/>
        </w:rPr>
        <w:t xml:space="preserve"> metody aj.). Lze očekávat doporučení na mezinárodní srovnávání oborů v ČR (děje se dle IP</w:t>
      </w:r>
      <w:r w:rsidR="00E706C4">
        <w:rPr>
          <w:rFonts w:ascii="Arial Narrow" w:eastAsia="Times New Roman" w:hAnsi="Arial Narrow" w:cs="Times New Roman"/>
          <w:i/>
          <w:sz w:val="24"/>
          <w:szCs w:val="24"/>
        </w:rPr>
        <w:t>N</w:t>
      </w:r>
      <w:r w:rsidRPr="00E13F63">
        <w:rPr>
          <w:rFonts w:ascii="Arial Narrow" w:eastAsia="Times New Roman" w:hAnsi="Arial Narrow" w:cs="Times New Roman"/>
          <w:i/>
          <w:sz w:val="24"/>
          <w:szCs w:val="24"/>
        </w:rPr>
        <w:t xml:space="preserve">), na posuzování nákladnosti oborů (viz v minulosti zmizelé, byť nepřesné, statistiky uvádějící do souvislosti projekty a související výsledky - nákladnost) s navazujícím rozhodováním, které nákladné obory si stát velikosti ČR může dovolit a na jaké úrovni financování. Podobně působí otázka, jak dalece lze nákladný obor zachovat nebo rozvíjet omezením financování více oborů méně nákladných aj. Lze samozřejmě s tím, co se bude dít zčásti řízeně a zčásti spontánně, nesouhlasit, a to z různých úhlů pohledu, ale předpokládat, že při změnách sytému akreditací nebudou VŠ, které se ocitnou pod existenčním tlakem, všestranně bojovat za své přežití, by asi bylo naivní. Proto je zřejmě vhodné se v této oblasti vyvarovat změn, které by byly nedostatečně podložené rozbory odpovídajícími svojí náročností rozdělované částce.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Zdroje řešení:</w:t>
      </w:r>
      <w:r w:rsidRPr="00E13F63">
        <w:rPr>
          <w:rFonts w:ascii="Arial Narrow" w:eastAsia="Times New Roman" w:hAnsi="Arial Narrow" w:cs="Times New Roman"/>
          <w:sz w:val="24"/>
          <w:szCs w:val="24"/>
        </w:rPr>
        <w:t xml:space="preserve"> </w:t>
      </w:r>
      <w:r w:rsidRPr="00E13F63">
        <w:rPr>
          <w:rFonts w:ascii="Arial Narrow" w:eastAsia="Times New Roman" w:hAnsi="Arial Narrow" w:cs="Times New Roman"/>
          <w:i/>
          <w:sz w:val="24"/>
          <w:szCs w:val="24"/>
        </w:rPr>
        <w:t xml:space="preserve">V přehledu strategických priorit VŠ a související bilanci zdrojů lze vidět převažující preferenci VŠ „pokračující stavby vzdělávací pyramidy“ se zvýrazněním toho, co lze považovat za oblasti, kterými se dané VŠ mohou chlubit, a tedy, co považují za „svoji excelenci“. Je nezbytně nutné zdůraznit, že toto shrnutí je zkresleno tím, že VŠ s řadou excelentních oborů nejsou v hodnoceném souboru plně zastoupeny. </w:t>
      </w:r>
    </w:p>
    <w:p w:rsidR="00B85C5E"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3B39C0" w:rsidRPr="00E13F63"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t>Bod 10: Snížení rizikové variability finančních zdrojů při podfinancování</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 xml:space="preserve">Poměr projektového financování </w:t>
      </w:r>
      <w:r w:rsidR="00282C51">
        <w:rPr>
          <w:rFonts w:ascii="Arial Narrow" w:eastAsia="Times New Roman" w:hAnsi="Arial Narrow" w:cs="Times New Roman"/>
          <w:i/>
          <w:sz w:val="24"/>
          <w:szCs w:val="24"/>
        </w:rPr>
        <w:t xml:space="preserve">(včetně velkých evropských projektů a dalších zdrojů) </w:t>
      </w:r>
      <w:r w:rsidRPr="00E13F63">
        <w:rPr>
          <w:rFonts w:ascii="Arial Narrow" w:eastAsia="Times New Roman" w:hAnsi="Arial Narrow" w:cs="Times New Roman"/>
          <w:i/>
          <w:sz w:val="24"/>
          <w:szCs w:val="24"/>
        </w:rPr>
        <w:t>vůči institucionálnímu (</w:t>
      </w:r>
      <w:r w:rsidR="00282C51">
        <w:rPr>
          <w:rFonts w:ascii="Arial Narrow" w:eastAsia="Times New Roman" w:hAnsi="Arial Narrow" w:cs="Times New Roman"/>
          <w:i/>
          <w:sz w:val="24"/>
          <w:szCs w:val="24"/>
        </w:rPr>
        <w:t xml:space="preserve">na fórech zástupců VŠ </w:t>
      </w:r>
      <w:r w:rsidR="008A0051">
        <w:rPr>
          <w:rFonts w:ascii="Arial Narrow" w:eastAsia="Times New Roman" w:hAnsi="Arial Narrow" w:cs="Times New Roman"/>
          <w:i/>
          <w:sz w:val="24"/>
          <w:szCs w:val="24"/>
        </w:rPr>
        <w:t xml:space="preserve">se </w:t>
      </w:r>
      <w:r w:rsidR="008A0051" w:rsidRPr="00E13F63">
        <w:rPr>
          <w:rFonts w:ascii="Arial Narrow" w:eastAsia="Times New Roman" w:hAnsi="Arial Narrow" w:cs="Times New Roman"/>
          <w:i/>
          <w:sz w:val="24"/>
          <w:szCs w:val="24"/>
        </w:rPr>
        <w:t xml:space="preserve">uvádí </w:t>
      </w:r>
      <w:r w:rsidR="00282C51">
        <w:rPr>
          <w:rFonts w:ascii="Arial Narrow" w:eastAsia="Times New Roman" w:hAnsi="Arial Narrow" w:cs="Times New Roman"/>
          <w:i/>
          <w:sz w:val="24"/>
          <w:szCs w:val="24"/>
        </w:rPr>
        <w:t xml:space="preserve">jako odpovídající trendu, který míří k poměru </w:t>
      </w:r>
      <w:r w:rsidR="00F043D6">
        <w:rPr>
          <w:rFonts w:ascii="Arial Narrow" w:eastAsia="Times New Roman" w:hAnsi="Arial Narrow" w:cs="Times New Roman"/>
          <w:i/>
          <w:sz w:val="24"/>
          <w:szCs w:val="24"/>
        </w:rPr>
        <w:t xml:space="preserve">až </w:t>
      </w:r>
      <w:r w:rsidRPr="00E13F63">
        <w:rPr>
          <w:rFonts w:ascii="Arial Narrow" w:eastAsia="Times New Roman" w:hAnsi="Arial Narrow" w:cs="Times New Roman"/>
          <w:i/>
          <w:sz w:val="24"/>
          <w:szCs w:val="24"/>
        </w:rPr>
        <w:t>60:40) v ČR předčil země OECD a EU15 (</w:t>
      </w:r>
      <w:r w:rsidR="0079506F">
        <w:rPr>
          <w:rFonts w:ascii="Arial Narrow" w:eastAsia="Times New Roman" w:hAnsi="Arial Narrow" w:cs="Times New Roman"/>
          <w:i/>
          <w:sz w:val="24"/>
          <w:szCs w:val="24"/>
        </w:rPr>
        <w:t>u</w:t>
      </w:r>
      <w:r w:rsidR="00FD3942" w:rsidRPr="00E13F63">
        <w:rPr>
          <w:rFonts w:ascii="Arial Narrow" w:eastAsia="Times New Roman" w:hAnsi="Arial Narrow" w:cs="Times New Roman"/>
          <w:i/>
          <w:sz w:val="24"/>
          <w:szCs w:val="24"/>
        </w:rPr>
        <w:t>vádí se</w:t>
      </w:r>
      <w:r w:rsidRPr="00E13F63">
        <w:rPr>
          <w:rFonts w:ascii="Arial Narrow" w:eastAsia="Times New Roman" w:hAnsi="Arial Narrow" w:cs="Times New Roman"/>
          <w:i/>
          <w:sz w:val="24"/>
          <w:szCs w:val="24"/>
        </w:rPr>
        <w:t xml:space="preserve"> 40:60</w:t>
      </w:r>
      <w:r w:rsidR="00354BF9">
        <w:rPr>
          <w:rFonts w:ascii="Arial Narrow" w:eastAsia="Times New Roman" w:hAnsi="Arial Narrow" w:cs="Times New Roman"/>
          <w:i/>
          <w:sz w:val="24"/>
          <w:szCs w:val="24"/>
        </w:rPr>
        <w:t xml:space="preserve"> jako poměr projektového a institucionálního financování tj. variabilních a stabilních finančních zdrojů</w:t>
      </w:r>
      <w:r w:rsidRPr="00E13F63">
        <w:rPr>
          <w:rFonts w:ascii="Arial Narrow" w:eastAsia="Times New Roman" w:hAnsi="Arial Narrow" w:cs="Times New Roman"/>
          <w:i/>
          <w:sz w:val="24"/>
          <w:szCs w:val="24"/>
        </w:rPr>
        <w:t xml:space="preserve">), se kterými se chce ČR srovnávat. Občas používaný argument o podpoře soutěže a odlišení těch nejlepších zní působivě.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Důsledky:</w:t>
      </w:r>
      <w:r w:rsidRPr="00E13F63">
        <w:rPr>
          <w:rFonts w:ascii="Arial Narrow" w:eastAsia="Times New Roman" w:hAnsi="Arial Narrow" w:cs="Times New Roman"/>
          <w:sz w:val="24"/>
          <w:szCs w:val="24"/>
        </w:rPr>
        <w:t xml:space="preserve"> </w:t>
      </w:r>
      <w:r w:rsidRPr="00E13F63">
        <w:rPr>
          <w:rFonts w:ascii="Arial Narrow" w:eastAsia="Times New Roman" w:hAnsi="Arial Narrow" w:cs="Times New Roman"/>
          <w:i/>
          <w:sz w:val="24"/>
          <w:szCs w:val="24"/>
        </w:rPr>
        <w:t xml:space="preserve">Nicméně při existujícím podfinancování VŠ v ČR se jedná o zřejmou podporu nestability systému VŠ v ČR. Finanční tlaky pak vedou týmy k tomu, aby podávaly co nejvíce projektů, jejich </w:t>
      </w:r>
      <w:r w:rsidRPr="00E13F63">
        <w:rPr>
          <w:rFonts w:ascii="Arial Narrow" w:eastAsia="Times New Roman" w:hAnsi="Arial Narrow" w:cs="Times New Roman"/>
          <w:i/>
          <w:sz w:val="24"/>
          <w:szCs w:val="24"/>
        </w:rPr>
        <w:lastRenderedPageBreak/>
        <w:t>úspěšnost pak zákonitě klesá, neúspěšné projekty představují ve značném podílu promrhaný čas jejich autorů (a neefektivně vynaložené finanční prostředky). K tomuto růstu variability v příjmech VŠ a jejich týmů pak přispívá preference velkých projektů (GA ČR, OP), které pak přinášejí významné vnitřní nerovnosti dovnitř VŠ, které je musí řešit a absorbovat.</w:t>
      </w:r>
      <w:r w:rsidRPr="00E13F63">
        <w:rPr>
          <w:rFonts w:ascii="Arial Narrow" w:eastAsia="Times New Roman" w:hAnsi="Arial Narrow" w:cs="Times New Roman"/>
          <w:sz w:val="24"/>
          <w:szCs w:val="24"/>
        </w:rPr>
        <w:t xml:space="preserve">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Možné řešení uvedených problémů se opírá o celkem věcné kroky. Posílit instit</w:t>
      </w:r>
      <w:r w:rsidR="008B3D10" w:rsidRPr="00E13F63">
        <w:rPr>
          <w:rFonts w:ascii="Arial Narrow" w:eastAsia="Times New Roman" w:hAnsi="Arial Narrow" w:cs="Times New Roman"/>
          <w:i/>
          <w:sz w:val="24"/>
          <w:szCs w:val="24"/>
        </w:rPr>
        <w:t xml:space="preserve">ucionální financování VŠ, a to </w:t>
      </w:r>
      <w:r w:rsidRPr="00E13F63">
        <w:rPr>
          <w:rFonts w:ascii="Arial Narrow" w:eastAsia="Times New Roman" w:hAnsi="Arial Narrow" w:cs="Times New Roman"/>
          <w:i/>
          <w:sz w:val="24"/>
          <w:szCs w:val="24"/>
        </w:rPr>
        <w:t>případně i na úkor financování projektového, pokud to jinak není možné. Zaměřit zdroje OP VVV projektů na základní strategické priority VŠ, dobře domyslet účinnost a účelnost financování tzv. nadstavbových aktivit. Zvážit velikost projektů, protože i v nadcházejícím období finanční prostředky mnoha projektů budou muset sloužit k podpoře základních činností VŠ, které ovšem mohou být rozvíjeny přínosným způsobem a nemusí se jednat o přímé nahrazování chybějících institucionálních zdrojů.</w:t>
      </w:r>
      <w:r w:rsidR="00FD3942" w:rsidRPr="00E13F63">
        <w:rPr>
          <w:rFonts w:ascii="Arial Narrow" w:eastAsia="Times New Roman" w:hAnsi="Arial Narrow" w:cs="Times New Roman"/>
          <w:i/>
          <w:sz w:val="24"/>
          <w:szCs w:val="24"/>
        </w:rPr>
        <w:t xml:space="preserve"> J</w:t>
      </w:r>
      <w:r w:rsidR="00FD3942" w:rsidRPr="00E13F63">
        <w:rPr>
          <w:rFonts w:ascii="Arial Narrow" w:hAnsi="Arial Narrow" w:cs="Times New Roman"/>
          <w:i/>
          <w:sz w:val="24"/>
          <w:szCs w:val="24"/>
        </w:rPr>
        <w:t>e tedy vhodné uplatňovat postupy, které i u projektových aktivit pokryjí veškeré jejich náklady ze zdrojů projektů. Projekty by měly mít jasný přínos pro základní činnost vysoké školy a vždy by měl být v rovnováze přínos pro základní činnost a administrativně – provozní náklady.</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Podle podaných bilancí zdrojů se VŠ jeví jako smířené s </w:t>
      </w:r>
      <w:r w:rsidR="008A0051">
        <w:rPr>
          <w:rFonts w:ascii="Arial Narrow" w:eastAsia="Times New Roman" w:hAnsi="Arial Narrow" w:cs="Times New Roman"/>
          <w:i/>
          <w:sz w:val="24"/>
          <w:szCs w:val="24"/>
        </w:rPr>
        <w:t>realitou a důsledně usilující o </w:t>
      </w:r>
      <w:r w:rsidRPr="00E13F63">
        <w:rPr>
          <w:rFonts w:ascii="Arial Narrow" w:eastAsia="Times New Roman" w:hAnsi="Arial Narrow" w:cs="Times New Roman"/>
          <w:i/>
          <w:sz w:val="24"/>
          <w:szCs w:val="24"/>
        </w:rPr>
        <w:t xml:space="preserve">úspěchy v projektovém financování, o které plánují opřít řadu strategických priorit. Při hlubším prozkoumání souvisejících podkladů VŠ (rizika, SWOT analýzy) lze konstatovat, že VŠ si tohoto problému jsou vědomé a uvítaly by nápravu. </w:t>
      </w:r>
    </w:p>
    <w:p w:rsidR="00B85C5E" w:rsidRPr="00E13F63" w:rsidRDefault="00B85C5E" w:rsidP="00B85C5E">
      <w:pPr>
        <w:spacing w:line="360" w:lineRule="auto"/>
        <w:jc w:val="both"/>
        <w:rPr>
          <w:rFonts w:ascii="Arial Narrow" w:hAnsi="Arial Narrow" w:cs="Times New Roman"/>
          <w:b/>
          <w:sz w:val="24"/>
          <w:szCs w:val="24"/>
          <w:u w:val="single"/>
        </w:rPr>
      </w:pPr>
    </w:p>
    <w:p w:rsidR="00B85C5E" w:rsidRPr="00E13F63" w:rsidRDefault="00FD3942" w:rsidP="00B85C5E">
      <w:pPr>
        <w:spacing w:line="360" w:lineRule="auto"/>
        <w:jc w:val="both"/>
        <w:rPr>
          <w:rFonts w:ascii="Arial Narrow" w:hAnsi="Arial Narrow" w:cs="Times New Roman"/>
          <w:sz w:val="24"/>
          <w:szCs w:val="24"/>
          <w:u w:val="single"/>
        </w:rPr>
      </w:pPr>
      <w:r w:rsidRPr="00E13F63">
        <w:rPr>
          <w:rFonts w:ascii="Arial Narrow" w:hAnsi="Arial Narrow" w:cs="Times New Roman"/>
          <w:b/>
          <w:sz w:val="24"/>
          <w:szCs w:val="24"/>
          <w:u w:val="single"/>
        </w:rPr>
        <w:t>Doplnění</w:t>
      </w:r>
      <w:r w:rsidR="00AF6C00" w:rsidRPr="00E13F63">
        <w:rPr>
          <w:rFonts w:ascii="Arial Narrow" w:hAnsi="Arial Narrow" w:cs="Times New Roman"/>
          <w:b/>
          <w:sz w:val="24"/>
          <w:szCs w:val="24"/>
          <w:u w:val="single"/>
        </w:rPr>
        <w:t xml:space="preserve"> v souladu s K04</w:t>
      </w:r>
      <w:r w:rsidRPr="00E13F63">
        <w:rPr>
          <w:rFonts w:ascii="Arial Narrow" w:hAnsi="Arial Narrow" w:cs="Times New Roman"/>
          <w:b/>
          <w:sz w:val="24"/>
          <w:szCs w:val="24"/>
          <w:u w:val="single"/>
        </w:rPr>
        <w:t xml:space="preserve">: </w:t>
      </w:r>
      <w:r w:rsidRPr="00E13F63">
        <w:rPr>
          <w:rFonts w:ascii="Arial Narrow" w:hAnsi="Arial Narrow" w:cs="Times New Roman"/>
          <w:i/>
          <w:sz w:val="24"/>
          <w:szCs w:val="24"/>
        </w:rPr>
        <w:t>Domníváme se, že MŠMT by mělo v legislativních procesech a vyjednávání hájit legitimní zájmy vysokých škol. Nejde o zákon o vysokých školách, ale jedná se např. o oblast výzkumu a vývoje, daňové zákony a obecně o zákony a podzákonné normy z finanční a kontrolní oblasti. Za velice podstatné považujeme, aby MŠMT napomohlo řešení problémů, které přesahují rámec jedné instituce. Jedná se např. o zajištění elektronických informačních zdrojů, příp. bezproblémového sběru potřebných dat o činnosti vysokých škol s minimální zátěží na pořízení těchto dat, dat s jasnou definicí a promyšleným vícenásobným využitím. Jedním z nevyužitých informačních zdrojů jsou např. výroční zprávy vysokých škol.</w:t>
      </w:r>
    </w:p>
    <w:p w:rsidR="0080708A" w:rsidRPr="00E13F63" w:rsidRDefault="0080708A" w:rsidP="00B85C5E">
      <w:pPr>
        <w:spacing w:line="360" w:lineRule="auto"/>
        <w:jc w:val="both"/>
        <w:rPr>
          <w:rFonts w:ascii="Arial Narrow" w:hAnsi="Arial Narrow" w:cs="Times New Roman"/>
          <w:b/>
          <w:sz w:val="24"/>
          <w:szCs w:val="24"/>
          <w:u w:val="single"/>
        </w:rPr>
      </w:pPr>
    </w:p>
    <w:p w:rsidR="008B3D10" w:rsidRPr="00E13F63" w:rsidRDefault="008B3D10">
      <w:pPr>
        <w:spacing w:after="0" w:line="240" w:lineRule="auto"/>
        <w:rPr>
          <w:rFonts w:ascii="Arial Narrow" w:hAnsi="Arial Narrow" w:cs="Times New Roman"/>
          <w:b/>
          <w:sz w:val="24"/>
          <w:szCs w:val="24"/>
          <w:u w:val="single"/>
        </w:rPr>
      </w:pPr>
      <w:r w:rsidRPr="00E13F63">
        <w:rPr>
          <w:rFonts w:ascii="Arial Narrow" w:hAnsi="Arial Narrow" w:cs="Times New Roman"/>
          <w:b/>
          <w:sz w:val="24"/>
          <w:szCs w:val="24"/>
          <w:u w:val="single"/>
        </w:rPr>
        <w:br w:type="page"/>
      </w:r>
    </w:p>
    <w:p w:rsidR="00B85C5E" w:rsidRDefault="00B85C5E" w:rsidP="00B93310">
      <w:pPr>
        <w:pStyle w:val="Nadpis1"/>
      </w:pPr>
      <w:bookmarkStart w:id="5" w:name="_Toc424296456"/>
      <w:r w:rsidRPr="00E13F63">
        <w:lastRenderedPageBreak/>
        <w:t>ZÁVĚRY: 10 bodů pro VŠ:</w:t>
      </w:r>
      <w:bookmarkEnd w:id="5"/>
    </w:p>
    <w:p w:rsidR="00B93310" w:rsidRPr="00B93310" w:rsidRDefault="00B93310" w:rsidP="00B93310"/>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t>Bod 1: Detailně poznávat vnější prostředí a reálně posuzovat možnosti</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Bilance zdrojů vztažené ke strategickým prioritám VŠ nezohledňují (platí pro některé VŠ – viz předchozí vizualizace) dostatečně vnější podmínky (viz negativní demografický vývoj a míra podfinancování VVŠ aj.).</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Důsledky:</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 xml:space="preserve">Plánované počty (např. studentů) respektive objemy peněz se pak v úhrnu jeví jako příliš optimistické, i když z pohledu ambic VŠ (VVŠ i SVŠ) pochopitelné.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Lze doporučit v rámci sestavování strategických plánů důsledně a podrobněji aktualizovat představu VŠ o dostupných (vnějších) zdrojích a tomu pak přizpůsobit strategické cíle, např. u</w:t>
      </w:r>
      <w:r w:rsidRPr="00E13F63">
        <w:rPr>
          <w:rFonts w:ascii="Arial Narrow" w:hAnsi="Arial Narrow" w:cs="Times New Roman"/>
          <w:i/>
          <w:sz w:val="24"/>
          <w:szCs w:val="24"/>
        </w:rPr>
        <w:t>vážit plánované růsty a jejich opodstatněnost.</w:t>
      </w:r>
      <w:r w:rsidRPr="00E13F63">
        <w:rPr>
          <w:rFonts w:ascii="Arial Narrow" w:eastAsia="Times New Roman" w:hAnsi="Arial Narrow" w:cs="Times New Roman"/>
          <w:i/>
          <w:sz w:val="24"/>
          <w:szCs w:val="24"/>
        </w:rPr>
        <w:t xml:space="preserve"> I při poměrně neúprosných výhledech, které moh</w:t>
      </w:r>
      <w:r w:rsidR="007E4229">
        <w:rPr>
          <w:rFonts w:ascii="Arial Narrow" w:eastAsia="Times New Roman" w:hAnsi="Arial Narrow" w:cs="Times New Roman"/>
          <w:i/>
          <w:sz w:val="24"/>
          <w:szCs w:val="24"/>
        </w:rPr>
        <w:t>o</w:t>
      </w:r>
      <w:r w:rsidRPr="00E13F63">
        <w:rPr>
          <w:rFonts w:ascii="Arial Narrow" w:eastAsia="Times New Roman" w:hAnsi="Arial Narrow" w:cs="Times New Roman"/>
          <w:i/>
          <w:sz w:val="24"/>
          <w:szCs w:val="24"/>
        </w:rPr>
        <w:t>u představy VŠ dále limitovat, je možné a vhodné hledat i rezervy ve vnitřních zdrojích VŠ</w:t>
      </w:r>
      <w:r w:rsidR="008E5E16" w:rsidRPr="00E13F63">
        <w:rPr>
          <w:rFonts w:ascii="Arial Narrow" w:eastAsia="Times New Roman" w:hAnsi="Arial Narrow" w:cs="Times New Roman"/>
          <w:i/>
          <w:sz w:val="24"/>
          <w:szCs w:val="24"/>
        </w:rPr>
        <w:t xml:space="preserve"> na základě poznání vnitřních procesů VŠ. Ideálem je docílení vyšší efektivnosti při zachování nebo i zvyšování kvality služeb a činností.</w:t>
      </w:r>
      <w:r w:rsidRPr="00E13F63">
        <w:rPr>
          <w:rFonts w:ascii="Arial Narrow" w:eastAsia="Times New Roman" w:hAnsi="Arial Narrow" w:cs="Times New Roman"/>
          <w:i/>
          <w:sz w:val="24"/>
          <w:szCs w:val="24"/>
        </w:rPr>
        <w:t xml:space="preserve">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sz w:val="24"/>
          <w:szCs w:val="24"/>
        </w:rPr>
        <w:t xml:space="preserve"> </w:t>
      </w:r>
      <w:r w:rsidRPr="00E13F63">
        <w:rPr>
          <w:rFonts w:ascii="Arial Narrow" w:eastAsia="Times New Roman" w:hAnsi="Arial Narrow" w:cs="Times New Roman"/>
          <w:i/>
          <w:sz w:val="24"/>
          <w:szCs w:val="24"/>
        </w:rPr>
        <w:t xml:space="preserve">Nabízejí se možnosti čerpání inspirace z předchozích etap řešení projektu KREDO, např. ze SWOT analýzy VŠ a z identifikace rizik se zaměřením na lepší provázání témat. </w:t>
      </w:r>
    </w:p>
    <w:p w:rsidR="00B85C5E"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3B39C0" w:rsidRPr="00E13F63"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Bod 2: Pracovat s neurčitostí vnějšího prostředí pomocí více scénářů</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Konstatování:</w:t>
      </w:r>
      <w:r w:rsidRPr="00E13F63">
        <w:rPr>
          <w:rFonts w:ascii="Arial Narrow" w:eastAsia="Times New Roman" w:hAnsi="Arial Narrow" w:cs="Times New Roman"/>
          <w:sz w:val="24"/>
          <w:szCs w:val="24"/>
        </w:rPr>
        <w:t xml:space="preserve"> </w:t>
      </w:r>
      <w:r w:rsidRPr="00E13F63">
        <w:rPr>
          <w:rFonts w:ascii="Arial Narrow" w:eastAsia="Times New Roman" w:hAnsi="Arial Narrow" w:cs="Times New Roman"/>
          <w:i/>
          <w:sz w:val="24"/>
          <w:szCs w:val="24"/>
        </w:rPr>
        <w:t>V bilanci zdrojů VŠ prakticky není uvažována neurčitost vnějšího prostředí (např. změny ve financování, legislativě aj.) a variabilita dosažitelných zdrojů (s trochou představivosti lze ovšem některé slovní formulace, případně intervalově uvedené číselné hodnoty, považovat za základní podchycení neurčitosti). Je to samozřejmě spojeno i s tím, že zadání ani tabulka pro zpracování dat podobnou možnost nenabízely.</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Důsledky:</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 xml:space="preserve">VŠ v důsledku výše uvedeného neuvažování existující neurčitosti ji zpracovávají tak, že specifikují pouze jediný scénář. S ohledem i na předchozí bod 1 jde většinou o scénáře charakterizovatelné jako velmi optimistické, optimistické a realistické.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 xml:space="preserve">V dalších etapách je doporučeno nerezignovat na neurčitost a modelovat ji pomocí uvažování více scénářů (např. pomocí tří expertních scénářů: optimistického, realistického a </w:t>
      </w:r>
      <w:r w:rsidRPr="00E13F63">
        <w:rPr>
          <w:rFonts w:ascii="Arial Narrow" w:eastAsia="Times New Roman" w:hAnsi="Arial Narrow" w:cs="Times New Roman"/>
          <w:i/>
          <w:sz w:val="24"/>
          <w:szCs w:val="24"/>
        </w:rPr>
        <w:lastRenderedPageBreak/>
        <w:t xml:space="preserve">pesimistického; scénáře mohou být uvažovány nejen tradičně kvantitativní, ale i kvalitativní). Případně se VŠ mohou zabývat nejen otázkami existence neurčitého prostředí, ale „protihráčů“ a „spoluhráčů“ v prostředí VŠ (viz přístupy modelů teorie her). </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sz w:val="24"/>
          <w:szCs w:val="24"/>
        </w:rPr>
        <w:t xml:space="preserve">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Využít zmíněné existující prvky identifikace neurčitosti v podkladech VŠ.</w:t>
      </w:r>
    </w:p>
    <w:p w:rsidR="00B85C5E"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3B39C0" w:rsidRPr="00E13F63"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r w:rsidRPr="00E13F63">
        <w:rPr>
          <w:rFonts w:ascii="Arial Narrow" w:eastAsia="Times New Roman" w:hAnsi="Arial Narrow" w:cs="Times New Roman"/>
          <w:b/>
          <w:sz w:val="24"/>
          <w:szCs w:val="24"/>
        </w:rPr>
        <w:t>Bod 3: Usilovat o rozšíření možností získávání dalších zdrojů</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 xml:space="preserve">S ohledem na omezené zdroje se už dnes VŠ snaží hledat další zdroje pro zajištění svých priorit. VVŠ, které doplácí na institucionální podfinancování, kladou v bilanci svých zdrojů důraz především na projektové zdroje, ale i na hospodářskou činnost a úspěšné aplikace. Soukromé VŠ, které vnímají hrozící dopady demografického propadu, plánují obdobné doplnění případných výpadků školného.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Důsledky:</w:t>
      </w:r>
      <w:r w:rsidRPr="00E13F63">
        <w:rPr>
          <w:rFonts w:ascii="Arial Narrow" w:eastAsia="Times New Roman" w:hAnsi="Arial Narrow" w:cs="Times New Roman"/>
          <w:sz w:val="24"/>
          <w:szCs w:val="24"/>
        </w:rPr>
        <w:t xml:space="preserve"> </w:t>
      </w:r>
      <w:r w:rsidRPr="00E13F63">
        <w:rPr>
          <w:rFonts w:ascii="Arial Narrow" w:eastAsia="Times New Roman" w:hAnsi="Arial Narrow" w:cs="Times New Roman"/>
          <w:i/>
          <w:sz w:val="24"/>
          <w:szCs w:val="24"/>
        </w:rPr>
        <w:t>Praktickým důsledkem zvýšeného úsilí o získávání dalších zdrojů ze strany více VŠ v kombinaci s obtížnější situací v ČR (viz např. daňová podpora spolupráce VŠ s průmyslem) je  jejich menší dostupnost i s ohledem na ekonomický vývoj v posledních letech. Tím se samozřejmě zesilují další problémy (podfinancování přes politické proklamace o podpoře VŠ, variabilita zdrojů, dopady změn prostředí v důsledku voleb, změny priorit institucí ovlivňujících VŠ prostředí, preference spolupráce firem se zahraničními vlastníky s jejich domácími VŠ před spoluprací s VŠ v ČR, aj.).</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Hledat širší možnosti zahraničních projektových a dalších zdrojů mimo obvyklé směry (i mimo H2020 a OP VVV). Zaměřit se na hledání originálních, pro každou VŠ specifických a možná i nestandardních, možností rozšíření zdrojů. Po odborné linii usilovat o legislativní podporu spolupráce VŠ s firmami v ČR blížící se zvyklostem v EU15 a OECD. Využít možností nabízených existující autonomií VŠ a navrženou novelou VŠ zákona. Krizovou možností je návrat k devadesátým letům, kde řešení představovaly odchody do zahraničí a zcela ze školství a případné široké využívání živnostenských listů akademickými pracovníky</w:t>
      </w:r>
      <w:r w:rsidR="00FD3942" w:rsidRPr="00E13F63">
        <w:rPr>
          <w:rFonts w:ascii="Arial Narrow" w:eastAsia="Times New Roman" w:hAnsi="Arial Narrow" w:cs="Times New Roman"/>
          <w:i/>
          <w:sz w:val="24"/>
          <w:szCs w:val="24"/>
        </w:rPr>
        <w:t xml:space="preserve"> se všemi následnými negativními dopady pro VŠ např. při získávání klíčové projektové podpory</w:t>
      </w:r>
      <w:r w:rsidRPr="00E13F63">
        <w:rPr>
          <w:rFonts w:ascii="Arial Narrow" w:eastAsia="Times New Roman" w:hAnsi="Arial Narrow" w:cs="Times New Roman"/>
          <w:i/>
          <w:sz w:val="24"/>
          <w:szCs w:val="24"/>
        </w:rPr>
        <w:t xml:space="preserve">. Zatímco v minulosti tato řešení financování akademických pracovníků vznikala spontánně, dnes již VŠ tuto možnost ve snaze udržet činnost VŠ mohou podporovat. Jedná se samozřejmě o řešení nedůstojné VŠ prostoru EU, ale může být v podmínkách ČR v důsledku podfinancování nutné.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 xml:space="preserve">Navázat na již v bilancích identifikované další zdroje.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lastRenderedPageBreak/>
        <w:t>Bod 4: Prohlubovat věcné poznání VŠ zejména na základě ukazatelů a financí</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 xml:space="preserve">Bilance zdrojů VŠ dominantně obsahují kvantitativní informace. Navazují na převážně kvalitativní informace předchozích etap projektu.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Důsledky:</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Nabízí se možnost se jimi inspirovat a návazně je precizovat uvnitř VŠ. Je důležité se vyhnout administrativnímu pojetí tohoto zpřesňování.</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Prohlubování poznání VŠ je vhodné opírat o fakta – ideální se jeví data založená na ukazatelích a finančních tocích. Vhodné slovní komentáře lze rozvíjet pomocí doplňování a propojování výsledků souvisejících etap, tj. reálné sebehodnocení – viz etapa 4, možná revize a doplnění priorit – viz etapa 5, znovu uvážení rizik – viz etapa 6, zpřesnění a členění zdrojů – viz etapa 6.</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 xml:space="preserve">Je vhodné uvážit využití výsledků VŠ shromážděných v etapách 1-4. Domyslet další možné vnitřní precizování skladby zdrojů (inspirací mohou být podrobnější informace zpracované dříve v textu ke zdrojům). </w:t>
      </w:r>
    </w:p>
    <w:p w:rsidR="00B85C5E"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3B39C0" w:rsidRPr="00E13F63"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Bod 5: Věnovat se zásadním oblastem a výstupům – kvalita absolventů</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Počet uvedených priorit VŠ kolísá (cca od 7 do 13), což se jeví vhodné z hlediska portfoliového přístupu k aktivitám VŠ a podpory robustnosti chování VŠ vzhledem k rizikům.</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Důsledky:</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Větší počet strategických priorit pojatý výčtem pak může vést k oddělení uvedených priorit a jejich podpoře oddělenými zdroji, jak se ukazuje i z bilance zdrojů některých VŠ. To pak svým způsobem vede k oslabení jisté jednoty a kooperace uvnitř VŠ (viz tradiční soutěžení mezi fakultami VŠ, disku</w:t>
      </w:r>
      <w:r w:rsidR="00142EED">
        <w:rPr>
          <w:rFonts w:ascii="Arial Narrow" w:eastAsia="Times New Roman" w:hAnsi="Arial Narrow" w:cs="Times New Roman"/>
          <w:i/>
          <w:sz w:val="24"/>
          <w:szCs w:val="24"/>
        </w:rPr>
        <w:t>z</w:t>
      </w:r>
      <w:r w:rsidRPr="00E13F63">
        <w:rPr>
          <w:rFonts w:ascii="Arial Narrow" w:eastAsia="Times New Roman" w:hAnsi="Arial Narrow" w:cs="Times New Roman"/>
          <w:i/>
          <w:sz w:val="24"/>
          <w:szCs w:val="24"/>
        </w:rPr>
        <w:t>e mezi tzv. vědci a tzv. učiteli), tentokrát vztažené k oblastem priorit.</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Vhodné se jeví podporovat strukturované propojení strategických priorit VŠ a zejména propojení jejích zdrojů (ideálně jeden zdroj může pozitivně ovlivňovat dosažení více cílů). Prvním krokem může být vymezení zásadní strategické priority, kterou pak jiné priority přirozeně podporují. Jak je uvedeno jinde, zásadní a přirozenou prioritou srozumitelnou rovněž pro veřejnost může být logicky kvalita absolventů (uvedena u více VŠ, ovšem ne nutně ve výčtu priorit jako první).</w:t>
      </w:r>
    </w:p>
    <w:p w:rsidR="00B85C5E"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 xml:space="preserve">Existující seznam priorit a odpovídajících zdrojů může VŠ vyžít k posouzení jejich možné struktury a možností sdruženého využití zdrojů dle jejich bilance. Jedná se pak o podporu synergie aktivit (zmiňována jinde) na úrovni VŠ, která obvykle probíhá, ale zde je ji možné pojmenovat explicitně. </w:t>
      </w:r>
      <w:r w:rsidRPr="00E13F63">
        <w:rPr>
          <w:rFonts w:ascii="Arial Narrow" w:eastAsia="Times New Roman" w:hAnsi="Arial Narrow" w:cs="Times New Roman"/>
          <w:sz w:val="24"/>
          <w:szCs w:val="24"/>
        </w:rPr>
        <w:t xml:space="preserve"> </w:t>
      </w:r>
    </w:p>
    <w:p w:rsidR="00142EED" w:rsidRPr="00E13F63" w:rsidRDefault="00142EED"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Bod 6: Při strategickém řízení zohledňovat budoucí neurčitost – robustnost rozhodnutí</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Konstatování:</w:t>
      </w:r>
      <w:r w:rsidRPr="00E13F63">
        <w:rPr>
          <w:rFonts w:ascii="Arial Narrow" w:eastAsia="Times New Roman" w:hAnsi="Arial Narrow" w:cs="Times New Roman"/>
          <w:sz w:val="24"/>
          <w:szCs w:val="24"/>
        </w:rPr>
        <w:t xml:space="preserve"> </w:t>
      </w:r>
      <w:r w:rsidRPr="00E13F63">
        <w:rPr>
          <w:rFonts w:ascii="Arial Narrow" w:eastAsia="Times New Roman" w:hAnsi="Arial Narrow" w:cs="Times New Roman"/>
          <w:i/>
          <w:sz w:val="24"/>
          <w:szCs w:val="24"/>
        </w:rPr>
        <w:t>Stávající přístupy k řízení VŠ obvykle nejsou podrobněji rozebírány v bilancích zdrojů. Nalézáme v nich kombinaci strategického a operativního řízení a praxe v daných podmínkách obvykle díky strukturované spolupráci akademické obce potvrzuje jejich úspěšnost. Otázky řízení VŠ patří mezi vybrané strategické priority některých VŠ, i když jsou explicitně uváděny spíše v souvislosti s problematikou hodnocení kvality.</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Důsledky:</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Použití v praxi osvědčených systémů řízení VŠ, ať už jsou teoreticky podložené, osvědčené v praxi konkrétního rektora nebo souvisí s tradicí působící na dané VŠ, nemůže vést k úspěšnému doporučení jejich zásadních změn nebo přepracování na základě pouhého shrnutí bilance zdrojů. Snad je vhodné dát jen některá doplňující doporučení.</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 xml:space="preserve">V návaznosti na předchozí doporučení popsat neurčitost pomocí expertních scénářů, zásadním doporučením pro strategické řízení v této souvislosti je přijímat dlouhodobě platná rozhodnutí tak, aby byla robustní ve vztahu k uvažované množině scénářů. Tomu lze rozumět tak, že strategická rozhodnutí jsou volena způsobem, který umožňuje, aby následující adaptace na realizovaný scénář proběhla s co nejnižšími náklady podle vybraného kritéria (obvykle vhodné užitkové funkce). Jedná se o přístupy analogické těm, které jsou používány kvantitativně při dlouhodobých investicích velkých penzijních fondů.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Nejsou většinově podchyceny v bilanci zdrojů. Případné využití možnosti řešení vyžaduje odpovídající seznámení s odbornou literaturou. Souvislost v bilancích zdrojů najdeme v případech, kdy s ohledem na nepředvídatelnost budoucího dění VŠ nereagují zkoumáním jediného scénáře, ale zkrácením horizontu období, kterým se VŠ zabývají tj. 2014-2020.</w:t>
      </w:r>
    </w:p>
    <w:p w:rsidR="008B3D10" w:rsidRPr="00E13F63" w:rsidRDefault="008B3D1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8B3D10" w:rsidRPr="00E13F63" w:rsidRDefault="008B3D1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Bod 7: Věnovat adekvátní pozornost často proměnlivým módním trendům ve 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Konstatování:</w:t>
      </w:r>
      <w:r w:rsidRPr="00E13F63">
        <w:rPr>
          <w:rFonts w:ascii="Arial Narrow" w:eastAsia="Times New Roman" w:hAnsi="Arial Narrow" w:cs="Times New Roman"/>
          <w:sz w:val="24"/>
          <w:szCs w:val="24"/>
        </w:rPr>
        <w:t xml:space="preserve"> </w:t>
      </w:r>
      <w:r w:rsidRPr="00E13F63">
        <w:rPr>
          <w:rFonts w:ascii="Arial Narrow" w:eastAsia="Times New Roman" w:hAnsi="Arial Narrow" w:cs="Times New Roman"/>
          <w:i/>
          <w:sz w:val="24"/>
          <w:szCs w:val="24"/>
        </w:rPr>
        <w:t>VŠ poměrně bezproblémově v minulosti reagovaly na módní trendy ve vysokém školství. Bylo to většinou nutné z důvodu souvisejícího financování a trvajícího podfinancování VVŠ z veřejných zdrojů.</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 Důsledky:</w:t>
      </w:r>
      <w:r w:rsidRPr="00E13F63">
        <w:rPr>
          <w:rFonts w:ascii="Arial Narrow" w:eastAsia="Times New Roman" w:hAnsi="Arial Narrow" w:cs="Times New Roman"/>
          <w:sz w:val="24"/>
          <w:szCs w:val="24"/>
        </w:rPr>
        <w:t xml:space="preserve">  Z</w:t>
      </w:r>
      <w:r w:rsidRPr="00E13F63">
        <w:rPr>
          <w:rFonts w:ascii="Arial Narrow" w:eastAsia="Times New Roman" w:hAnsi="Arial Narrow" w:cs="Times New Roman"/>
          <w:i/>
          <w:sz w:val="24"/>
          <w:szCs w:val="24"/>
        </w:rPr>
        <w:t xml:space="preserve">vládnutí módních trendů s minimální prodlevou ze strany VŠ v minulosti mělo obvykle bezprostřední přínos pro reagující VŠ (viz podpora masového VŠ, viz nasazení financování podle RIVu </w:t>
      </w:r>
      <w:r w:rsidRPr="00E13F63">
        <w:rPr>
          <w:rFonts w:ascii="Arial Narrow" w:eastAsia="Times New Roman" w:hAnsi="Arial Narrow" w:cs="Times New Roman"/>
          <w:i/>
          <w:sz w:val="24"/>
          <w:szCs w:val="24"/>
        </w:rPr>
        <w:lastRenderedPageBreak/>
        <w:t>aj.). VŠ navíc svým chováním obvykle následovaly výpočtové ukazatele MŠMT určené pro financování. Dlouhodobé následky jsou samozřejmě sporné (např. nárůst VŠ kapacit pro období demografického poklesu, česká modifikace implementace hesla „</w:t>
      </w:r>
      <w:proofErr w:type="spellStart"/>
      <w:r w:rsidRPr="00E13F63">
        <w:rPr>
          <w:rFonts w:ascii="Arial Narrow" w:eastAsia="Times New Roman" w:hAnsi="Arial Narrow" w:cs="Times New Roman"/>
          <w:i/>
          <w:sz w:val="24"/>
          <w:szCs w:val="24"/>
        </w:rPr>
        <w:t>publish</w:t>
      </w:r>
      <w:proofErr w:type="spellEnd"/>
      <w:r w:rsidRPr="00E13F63">
        <w:rPr>
          <w:rFonts w:ascii="Arial Narrow" w:eastAsia="Times New Roman" w:hAnsi="Arial Narrow" w:cs="Times New Roman"/>
          <w:i/>
          <w:sz w:val="24"/>
          <w:szCs w:val="24"/>
        </w:rPr>
        <w:t xml:space="preserve"> </w:t>
      </w:r>
      <w:proofErr w:type="spellStart"/>
      <w:r w:rsidRPr="00E13F63">
        <w:rPr>
          <w:rFonts w:ascii="Arial Narrow" w:eastAsia="Times New Roman" w:hAnsi="Arial Narrow" w:cs="Times New Roman"/>
          <w:i/>
          <w:sz w:val="24"/>
          <w:szCs w:val="24"/>
        </w:rPr>
        <w:t>or</w:t>
      </w:r>
      <w:proofErr w:type="spellEnd"/>
      <w:r w:rsidRPr="00E13F63">
        <w:rPr>
          <w:rFonts w:ascii="Arial Narrow" w:eastAsia="Times New Roman" w:hAnsi="Arial Narrow" w:cs="Times New Roman"/>
          <w:i/>
          <w:sz w:val="24"/>
          <w:szCs w:val="24"/>
        </w:rPr>
        <w:t xml:space="preserve"> </w:t>
      </w:r>
      <w:proofErr w:type="spellStart"/>
      <w:r w:rsidRPr="00E13F63">
        <w:rPr>
          <w:rFonts w:ascii="Arial Narrow" w:eastAsia="Times New Roman" w:hAnsi="Arial Narrow" w:cs="Times New Roman"/>
          <w:i/>
          <w:sz w:val="24"/>
          <w:szCs w:val="24"/>
        </w:rPr>
        <w:t>perish</w:t>
      </w:r>
      <w:proofErr w:type="spellEnd"/>
      <w:r w:rsidRPr="00E13F63">
        <w:rPr>
          <w:rFonts w:ascii="Arial Narrow" w:eastAsia="Times New Roman" w:hAnsi="Arial Narrow" w:cs="Times New Roman"/>
          <w:i/>
          <w:sz w:val="24"/>
          <w:szCs w:val="24"/>
        </w:rPr>
        <w:t>“), nicméně tyto kroky jako pragmatická reakce na podfinancování VŠ krátkodobě pomohly.</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 xml:space="preserve">Reálně posuzovat soudobé nebo nadcházející trendy (viz excelence a hodnocení kvality). S ohledem na podfinancování VVŠ z nich těžit, ale vyčlenit kapacity i na dlouhodobé priority VŠ. </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Pragmaticky reagovat na jistou „</w:t>
      </w:r>
      <w:proofErr w:type="spellStart"/>
      <w:r w:rsidRPr="00E13F63">
        <w:rPr>
          <w:rFonts w:ascii="Arial Narrow" w:eastAsia="Times New Roman" w:hAnsi="Arial Narrow" w:cs="Times New Roman"/>
          <w:i/>
          <w:sz w:val="24"/>
          <w:szCs w:val="24"/>
        </w:rPr>
        <w:t>cukaturu</w:t>
      </w:r>
      <w:proofErr w:type="spellEnd"/>
      <w:r w:rsidRPr="00E13F63">
        <w:rPr>
          <w:rFonts w:ascii="Arial Narrow" w:eastAsia="Times New Roman" w:hAnsi="Arial Narrow" w:cs="Times New Roman"/>
          <w:i/>
          <w:sz w:val="24"/>
          <w:szCs w:val="24"/>
        </w:rPr>
        <w:t xml:space="preserve">“ vnějších aktérů (viz různé tzv. zásadní reformy), být rozumně konjunkturální z důvodu podfinancování, ale nepodléhat módním trendům příliš trvale a hluboce. Lze čekat nové heslo a nový trend.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Provést na VŠ vlastní posouzení</w:t>
      </w:r>
      <w:r w:rsidRPr="00E13F63">
        <w:rPr>
          <w:rFonts w:ascii="Arial Narrow" w:eastAsia="Times New Roman" w:hAnsi="Arial Narrow" w:cs="Times New Roman"/>
          <w:sz w:val="24"/>
          <w:szCs w:val="24"/>
        </w:rPr>
        <w:t xml:space="preserve">, </w:t>
      </w:r>
      <w:r w:rsidRPr="00E13F63">
        <w:rPr>
          <w:rFonts w:ascii="Arial Narrow" w:eastAsia="Times New Roman" w:hAnsi="Arial Narrow" w:cs="Times New Roman"/>
          <w:i/>
          <w:sz w:val="24"/>
          <w:szCs w:val="24"/>
        </w:rPr>
        <w:t xml:space="preserve">jak dalece prezentované priority jsou módní a jak dalece jsou trvalé a zakořeněné. </w:t>
      </w:r>
    </w:p>
    <w:p w:rsidR="00B85C5E"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3B39C0" w:rsidRPr="00E13F63"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Bod 8: Strategické řízení doplňovat v rozumné míře adaptivním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S předchozím bodem souvisí i širší přístup k řízení, kdy se nejen adaptivně reaguje na módní trendy, ale musí se reagovat na změny vnějších podmínek. Zejména za podmínek podfinancování se řízení logicky stává více adaptivním, protože je nutné více reagovat na rizika ztráty i tak omezených zdrojů.</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Důsledky:</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Vnitřní pozorovatelé VŠ z akademické obce zvyklí ve svých oborech systematicky pracovat (viz např. navrhovatelé velkých mnohaletých projektů), ale neznalí vnějších podmínek působících na zdroje VŠ, bývají zaskočeni tím, jak se podle nich managementy VŠ a součástí často zaměřují na otázky operativního řízení VŠ a nedávají potřebnou strategickou podporu rozvoji (zejména jejich) tzv. excelentních aktivit (ve srovnání např. s jejich dřívějšími působišti v zahraničí). Pokud je systém podfinancovaný, je zřejmé, že řízený systém bývá pod silným existenčním tlakem a je potřeba více a pružněji reagovat na vnější podněty a možnost strategické koncentrace zdrojů bývá iluzorní. Málokteré řídicí složky VŠ přistoupí k přeskupení finančních prostředků způsobem, který by mohl ohrozit některou část ze základních aktivit VŠ nebo celou 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Zde lze doporučit přístup zdravého rozumu („</w:t>
      </w:r>
      <w:proofErr w:type="spellStart"/>
      <w:r w:rsidRPr="00E13F63">
        <w:rPr>
          <w:rFonts w:ascii="Arial Narrow" w:eastAsia="Times New Roman" w:hAnsi="Arial Narrow" w:cs="Times New Roman"/>
          <w:i/>
          <w:sz w:val="24"/>
          <w:szCs w:val="24"/>
        </w:rPr>
        <w:t>common</w:t>
      </w:r>
      <w:proofErr w:type="spellEnd"/>
      <w:r w:rsidRPr="00E13F63">
        <w:rPr>
          <w:rFonts w:ascii="Arial Narrow" w:eastAsia="Times New Roman" w:hAnsi="Arial Narrow" w:cs="Times New Roman"/>
          <w:i/>
          <w:sz w:val="24"/>
          <w:szCs w:val="24"/>
        </w:rPr>
        <w:t xml:space="preserve"> </w:t>
      </w:r>
      <w:proofErr w:type="spellStart"/>
      <w:r w:rsidRPr="00E13F63">
        <w:rPr>
          <w:rFonts w:ascii="Arial Narrow" w:eastAsia="Times New Roman" w:hAnsi="Arial Narrow" w:cs="Times New Roman"/>
          <w:i/>
          <w:sz w:val="24"/>
          <w:szCs w:val="24"/>
        </w:rPr>
        <w:t>sense</w:t>
      </w:r>
      <w:proofErr w:type="spellEnd"/>
      <w:r w:rsidRPr="00E13F63">
        <w:rPr>
          <w:rFonts w:ascii="Arial Narrow" w:eastAsia="Times New Roman" w:hAnsi="Arial Narrow" w:cs="Times New Roman"/>
          <w:i/>
          <w:sz w:val="24"/>
          <w:szCs w:val="24"/>
        </w:rPr>
        <w:t>“), který je dosud požíván, protože manévrovací prostor pro změnu poměru adaptivního a strategického řízení je minimální. Spíše lze upozorňovat na příležitosti změn a na jejich nutnost pod vlivem realizace scénářů.</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lastRenderedPageBreak/>
        <w:t xml:space="preserve">Zdroje řešení: </w:t>
      </w:r>
      <w:r w:rsidRPr="00E13F63">
        <w:rPr>
          <w:rFonts w:ascii="Arial Narrow" w:eastAsia="Times New Roman" w:hAnsi="Arial Narrow" w:cs="Times New Roman"/>
          <w:i/>
          <w:sz w:val="24"/>
          <w:szCs w:val="24"/>
        </w:rPr>
        <w:t>Souvisí s body</w:t>
      </w:r>
      <w:r w:rsidRPr="00E13F63">
        <w:rPr>
          <w:rFonts w:ascii="Arial Narrow" w:eastAsia="Times New Roman" w:hAnsi="Arial Narrow" w:cs="Times New Roman"/>
          <w:sz w:val="24"/>
          <w:szCs w:val="24"/>
        </w:rPr>
        <w:t xml:space="preserve"> </w:t>
      </w:r>
      <w:r w:rsidRPr="00E13F63">
        <w:rPr>
          <w:rFonts w:ascii="Arial Narrow" w:eastAsia="Times New Roman" w:hAnsi="Arial Narrow" w:cs="Times New Roman"/>
          <w:i/>
          <w:sz w:val="24"/>
          <w:szCs w:val="24"/>
        </w:rPr>
        <w:t>2, 6, 7.</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Bod 9: Popularizovat u veřejnosti VŠ a jejich aktivity včetně samosprávnosti řízení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Konstatování: </w:t>
      </w:r>
      <w:r w:rsidRPr="00E13F63">
        <w:rPr>
          <w:rFonts w:ascii="Arial Narrow" w:eastAsia="Times New Roman" w:hAnsi="Arial Narrow" w:cs="Times New Roman"/>
          <w:i/>
          <w:sz w:val="24"/>
          <w:szCs w:val="24"/>
        </w:rPr>
        <w:t xml:space="preserve">Bilance zdrojů VŠ zahrnují priority zaměřené na komunikační strategie a prezentace VŠ veřejnosti.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Důsledky:</w:t>
      </w:r>
      <w:r w:rsidRPr="00E13F63">
        <w:rPr>
          <w:rFonts w:ascii="Arial Narrow" w:eastAsia="Times New Roman" w:hAnsi="Arial Narrow" w:cs="Times New Roman"/>
          <w:b/>
          <w:i/>
          <w:sz w:val="24"/>
          <w:szCs w:val="24"/>
        </w:rPr>
        <w:t xml:space="preserve"> </w:t>
      </w:r>
      <w:r w:rsidRPr="00E13F63">
        <w:rPr>
          <w:rFonts w:ascii="Arial Narrow" w:eastAsia="Times New Roman" w:hAnsi="Arial Narrow" w:cs="Times New Roman"/>
          <w:i/>
          <w:sz w:val="24"/>
          <w:szCs w:val="24"/>
        </w:rPr>
        <w:t xml:space="preserve">Propagační aktivity veřejnost zatím většinou vnímá fragmentárně (viz mediálně diskutované aktivity VŠ v ČR na </w:t>
      </w:r>
      <w:proofErr w:type="spellStart"/>
      <w:r w:rsidRPr="00E13F63">
        <w:rPr>
          <w:rFonts w:ascii="Arial Narrow" w:eastAsia="Times New Roman" w:hAnsi="Arial Narrow" w:cs="Times New Roman"/>
          <w:i/>
          <w:sz w:val="24"/>
          <w:szCs w:val="24"/>
        </w:rPr>
        <w:t>youtube</w:t>
      </w:r>
      <w:proofErr w:type="spellEnd"/>
      <w:r w:rsidRPr="00E13F63">
        <w:rPr>
          <w:rFonts w:ascii="Arial Narrow" w:eastAsia="Times New Roman" w:hAnsi="Arial Narrow" w:cs="Times New Roman"/>
          <w:i/>
          <w:sz w:val="24"/>
          <w:szCs w:val="24"/>
        </w:rPr>
        <w:t>; žebříčky fakult v novinách; disku</w:t>
      </w:r>
      <w:r w:rsidR="0034309E">
        <w:rPr>
          <w:rFonts w:ascii="Arial Narrow" w:eastAsia="Times New Roman" w:hAnsi="Arial Narrow" w:cs="Times New Roman"/>
          <w:i/>
          <w:sz w:val="24"/>
          <w:szCs w:val="24"/>
        </w:rPr>
        <w:t>z</w:t>
      </w:r>
      <w:r w:rsidRPr="00E13F63">
        <w:rPr>
          <w:rFonts w:ascii="Arial Narrow" w:eastAsia="Times New Roman" w:hAnsi="Arial Narrow" w:cs="Times New Roman"/>
          <w:i/>
          <w:sz w:val="24"/>
          <w:szCs w:val="24"/>
        </w:rPr>
        <w:t xml:space="preserve">e k uplatnění před přijímacími řízeními na VŠ; působení logotypu VŠ, vystupování zvaných odborníků v pořadech TV, aj.).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Možnosti řešení: </w:t>
      </w:r>
      <w:r w:rsidRPr="00E13F63">
        <w:rPr>
          <w:rFonts w:ascii="Arial Narrow" w:eastAsia="Times New Roman" w:hAnsi="Arial Narrow" w:cs="Times New Roman"/>
          <w:i/>
          <w:sz w:val="24"/>
          <w:szCs w:val="24"/>
        </w:rPr>
        <w:t>Popularizace činnosti, ale i problémů VŠ (zejména míry jejich podfinancování) veřejnosti je zřejmě nutná a musí působit uceleněji, má-li dojít ke zlepšením situace</w:t>
      </w:r>
      <w:r w:rsidR="008E5E16" w:rsidRPr="00E13F63">
        <w:rPr>
          <w:rFonts w:ascii="Arial Narrow" w:eastAsia="Times New Roman" w:hAnsi="Arial Narrow" w:cs="Times New Roman"/>
          <w:i/>
          <w:sz w:val="24"/>
          <w:szCs w:val="24"/>
        </w:rPr>
        <w:t>.</w:t>
      </w:r>
      <w:r w:rsidRPr="00E13F63">
        <w:rPr>
          <w:rFonts w:ascii="Arial Narrow" w:eastAsia="Times New Roman" w:hAnsi="Arial Narrow" w:cs="Times New Roman"/>
          <w:i/>
          <w:sz w:val="24"/>
          <w:szCs w:val="24"/>
        </w:rPr>
        <w:t xml:space="preserve"> Důležité mohou být pro veřejnost reálné zkušenosti s problémy akademické samosprávy, protože tyto pozitivní i negativní zkušenosti souvisí s tolikrát skloňovanou potřebou rozvoje občanské společnosti a zájmem lidí o své okolí. Navíc hrozba (viz negativní anglické zkušenosti) manažerského pojetí VŠ se opět může vynořit. Dále nebude-li veřejnost vědět, čím se VŠ zabývají, nebude-li tyto aktivity chápat alespoň na určité úrovni, nebude vědět, proč se mají rozvíjet, čím to bude pro ni přínosné a proč tyto aktivity mají být financovány. </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i/>
          <w:sz w:val="24"/>
          <w:szCs w:val="24"/>
        </w:rPr>
        <w:t>Zvažovat ve všech VŠ uvedených oblastech strategických priorit možnosti související prezentace a popularizace včetně jejich zdrojového zajištění. Na popularizaci VŠ a přiblížení jejich výsledků veřejnosti musí VŠ i MŠMT nalézt finanční prostředky (OP VVV v oblastech zaměřujících VŠ směrem k veřejnosti), protože je to z jistého strategického pohledu otázka existenční.</w:t>
      </w:r>
    </w:p>
    <w:p w:rsidR="00B85C5E"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3B39C0" w:rsidRPr="00E13F63" w:rsidRDefault="003B39C0"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sz w:val="24"/>
          <w:szCs w:val="24"/>
        </w:rPr>
      </w:pPr>
      <w:r w:rsidRPr="00E13F63">
        <w:rPr>
          <w:rFonts w:ascii="Arial Narrow" w:eastAsia="Times New Roman" w:hAnsi="Arial Narrow" w:cs="Times New Roman"/>
          <w:b/>
          <w:sz w:val="24"/>
          <w:szCs w:val="24"/>
        </w:rPr>
        <w:t>Bod 10: Aktivně poskytovat zpětnou vazbu systému řízení 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Konstatování:</w:t>
      </w:r>
      <w:r w:rsidRPr="00E13F63">
        <w:rPr>
          <w:rFonts w:ascii="Arial Narrow" w:eastAsia="Times New Roman" w:hAnsi="Arial Narrow" w:cs="Times New Roman"/>
          <w:sz w:val="24"/>
          <w:szCs w:val="24"/>
        </w:rPr>
        <w:t xml:space="preserve"> </w:t>
      </w:r>
      <w:r w:rsidRPr="00E13F63">
        <w:rPr>
          <w:rFonts w:ascii="Arial Narrow" w:eastAsia="Times New Roman" w:hAnsi="Arial Narrow" w:cs="Times New Roman"/>
          <w:i/>
          <w:sz w:val="24"/>
          <w:szCs w:val="24"/>
        </w:rPr>
        <w:t>Bilance zdrojů pro oblasti strategických priorit si prakticky nevšímá možností využívání a rozvoje zpětných vazeb v systému řízení VŠ ze strany 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 xml:space="preserve"> Důsledky:</w:t>
      </w:r>
      <w:r w:rsidRPr="00E13F63">
        <w:rPr>
          <w:rFonts w:ascii="Arial Narrow" w:eastAsia="Times New Roman" w:hAnsi="Arial Narrow" w:cs="Times New Roman"/>
          <w:i/>
          <w:sz w:val="24"/>
          <w:szCs w:val="24"/>
        </w:rPr>
        <w:t xml:space="preserve"> Praktickým důsledkem je, že tato zpětná vazba (až na výjimky) je MŠMT poskytována prostřednictvím reprezentací VŠ.</w:t>
      </w:r>
    </w:p>
    <w:p w:rsidR="00B85C5E" w:rsidRPr="00E13F63" w:rsidRDefault="00B85C5E" w:rsidP="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i/>
          <w:sz w:val="24"/>
          <w:szCs w:val="24"/>
        </w:rPr>
      </w:pPr>
      <w:r w:rsidRPr="00E13F63">
        <w:rPr>
          <w:rFonts w:ascii="Arial Narrow" w:eastAsia="Times New Roman" w:hAnsi="Arial Narrow" w:cs="Times New Roman"/>
          <w:b/>
          <w:sz w:val="24"/>
          <w:szCs w:val="24"/>
        </w:rPr>
        <w:t>Možnosti řešení:</w:t>
      </w:r>
      <w:r w:rsidRPr="00E13F63">
        <w:rPr>
          <w:rFonts w:ascii="Arial Narrow" w:eastAsia="Times New Roman" w:hAnsi="Arial Narrow" w:cs="Times New Roman"/>
          <w:i/>
          <w:sz w:val="24"/>
          <w:szCs w:val="24"/>
        </w:rPr>
        <w:t xml:space="preserve"> Zpětná vazba je ve většině fungujících systémů nutností. I proto je vhodné, aby se VŠ s ohledem na své problémy (otázky podfinancování, demografický vývoj) věnovaly i hodnocení toho, jakou zpětnou vazbu jsou schopny společně s dalšími VŠ nebo samostatně MŠMT (nejen jemu) poskytovat. Rizikem samozřejmě může být, když některé aktivní VŠ si vybudují takové vazby, které </w:t>
      </w:r>
      <w:r w:rsidRPr="00E13F63">
        <w:rPr>
          <w:rFonts w:ascii="Arial Narrow" w:eastAsia="Times New Roman" w:hAnsi="Arial Narrow" w:cs="Times New Roman"/>
          <w:i/>
          <w:sz w:val="24"/>
          <w:szCs w:val="24"/>
        </w:rPr>
        <w:lastRenderedPageBreak/>
        <w:t>vedou k jejich preferování. Nejlepším lékem na taková rizika je aktivita co nejvíce VŠ v budování zpětných vazeb.</w:t>
      </w:r>
    </w:p>
    <w:p w:rsidR="00566689" w:rsidRPr="00E13F63" w:rsidRDefault="00B85C5E" w:rsidP="00940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Narrow" w:eastAsia="Times New Roman" w:hAnsi="Arial Narrow" w:cs="Times New Roman"/>
          <w:b/>
          <w:i/>
          <w:sz w:val="24"/>
          <w:szCs w:val="24"/>
        </w:rPr>
      </w:pPr>
      <w:r w:rsidRPr="00E13F63">
        <w:rPr>
          <w:rFonts w:ascii="Arial Narrow" w:eastAsia="Times New Roman" w:hAnsi="Arial Narrow" w:cs="Times New Roman"/>
          <w:b/>
          <w:sz w:val="24"/>
          <w:szCs w:val="24"/>
        </w:rPr>
        <w:t xml:space="preserve">Zdroje řešení: </w:t>
      </w:r>
      <w:r w:rsidRPr="00E13F63">
        <w:rPr>
          <w:rFonts w:ascii="Arial Narrow" w:eastAsia="Times New Roman" w:hAnsi="Arial Narrow" w:cs="Times New Roman"/>
          <w:sz w:val="24"/>
          <w:szCs w:val="24"/>
        </w:rPr>
        <w:t>Z</w:t>
      </w:r>
      <w:r w:rsidRPr="00E13F63">
        <w:rPr>
          <w:rFonts w:ascii="Arial Narrow" w:eastAsia="Times New Roman" w:hAnsi="Arial Narrow" w:cs="Times New Roman"/>
          <w:i/>
          <w:sz w:val="24"/>
          <w:szCs w:val="24"/>
        </w:rPr>
        <w:t>pětnou vazbu lze poměrně úspěšně MŠMT (a dalším) poskytovat nepřímo, tj. působením na veřejnost a zejména efektivní spoluprací s absolventy VŠ. Za existující zpětnou vazbu lze považovat i výběr strategických priorit ze strany VŠ. Ukazuje se realistický pohled VŠ na jejich činnost, protože strategické priority se vyhýbají některým tématům, která bývají do VŠ problematiky, jak se ukazuje, vnášena vnějšími aktéry, často zejména politickými (viz např. otázky školného a další, dříve v médiích tak populární témata).</w:t>
      </w:r>
    </w:p>
    <w:p w:rsidR="008E5E16" w:rsidRPr="00E13F63" w:rsidRDefault="008E5E16" w:rsidP="008B3D10">
      <w:pPr>
        <w:pStyle w:val="Odstavecseseznamem"/>
        <w:ind w:left="0"/>
        <w:jc w:val="both"/>
        <w:rPr>
          <w:rFonts w:ascii="Arial Narrow" w:hAnsi="Arial Narrow" w:cs="Times New Roman"/>
          <w:i/>
          <w:sz w:val="24"/>
          <w:szCs w:val="24"/>
        </w:rPr>
      </w:pPr>
      <w:r w:rsidRPr="00E13F63">
        <w:rPr>
          <w:rFonts w:ascii="Arial Narrow" w:hAnsi="Arial Narrow" w:cs="Times New Roman"/>
          <w:b/>
          <w:sz w:val="24"/>
          <w:szCs w:val="24"/>
        </w:rPr>
        <w:t>Doplnění</w:t>
      </w:r>
      <w:r w:rsidR="003202CA" w:rsidRPr="00E13F63">
        <w:rPr>
          <w:rFonts w:ascii="Arial Narrow" w:hAnsi="Arial Narrow" w:cs="Times New Roman"/>
          <w:b/>
          <w:sz w:val="24"/>
          <w:szCs w:val="24"/>
        </w:rPr>
        <w:t xml:space="preserve"> podle K04</w:t>
      </w:r>
      <w:r w:rsidRPr="00E13F63">
        <w:rPr>
          <w:rFonts w:ascii="Arial Narrow" w:hAnsi="Arial Narrow" w:cs="Times New Roman"/>
          <w:b/>
          <w:sz w:val="24"/>
          <w:szCs w:val="24"/>
        </w:rPr>
        <w:t xml:space="preserve">: </w:t>
      </w:r>
      <w:r w:rsidRPr="00E13F63">
        <w:rPr>
          <w:rFonts w:ascii="Arial Narrow" w:hAnsi="Arial Narrow" w:cs="Times New Roman"/>
          <w:i/>
          <w:sz w:val="24"/>
          <w:szCs w:val="24"/>
        </w:rPr>
        <w:t>Na základě disku</w:t>
      </w:r>
      <w:r w:rsidR="0034309E">
        <w:rPr>
          <w:rFonts w:ascii="Arial Narrow" w:hAnsi="Arial Narrow" w:cs="Times New Roman"/>
          <w:i/>
          <w:sz w:val="24"/>
          <w:szCs w:val="24"/>
        </w:rPr>
        <w:t>z</w:t>
      </w:r>
      <w:r w:rsidR="001A0287">
        <w:rPr>
          <w:rFonts w:ascii="Arial Narrow" w:hAnsi="Arial Narrow" w:cs="Times New Roman"/>
          <w:i/>
          <w:sz w:val="24"/>
          <w:szCs w:val="24"/>
        </w:rPr>
        <w:t>e</w:t>
      </w:r>
      <w:r w:rsidRPr="00E13F63">
        <w:rPr>
          <w:rFonts w:ascii="Arial Narrow" w:hAnsi="Arial Narrow" w:cs="Times New Roman"/>
          <w:i/>
          <w:sz w:val="24"/>
          <w:szCs w:val="24"/>
        </w:rPr>
        <w:t xml:space="preserve"> k textu lze konstatovat, že ani vysoké školství se neobejde bez použití progresivních metod, a to nejen v oblasti řízení. Plně, ale velmi efektivně a s respektováním akademického prostředí by měly být uplatněny metody zajišťování kvality veškerých činností, řízení rizik a motivujícího odměňování (a kariérního rozvoje). Velmi důležité je, aby se tyto metody plně uplatnily i ve správních a servisních činnostech, což by mělo vést k vyšší efektivitě i vyšší koncentraci akademické obce na její hlavní poslání a tři role. Zásadní význam může mít promyšlené využití strukturálních fondů. Jejich zdroje nelze chápat jako doplnění zdrojů chybějících, ale jako podporu změny, která vyplývá ze strategických priorit vysoké školy. I proto bylo důležité, že vysoké školy většinou k této přípravě použily podporu projektu KREDO a vzájemnou výměnu zkušeností.</w:t>
      </w:r>
    </w:p>
    <w:p w:rsidR="008F63A8" w:rsidRDefault="008F63A8">
      <w:pPr>
        <w:spacing w:after="0" w:line="240" w:lineRule="auto"/>
        <w:rPr>
          <w:rFonts w:ascii="Arial Narrow" w:hAnsi="Arial Narrow" w:cs="Times New Roman"/>
          <w:b/>
          <w:sz w:val="24"/>
          <w:szCs w:val="24"/>
          <w:highlight w:val="yellow"/>
        </w:rPr>
      </w:pPr>
      <w:r>
        <w:rPr>
          <w:rFonts w:ascii="Arial Narrow" w:hAnsi="Arial Narrow" w:cs="Times New Roman"/>
          <w:b/>
          <w:sz w:val="24"/>
          <w:szCs w:val="24"/>
          <w:highlight w:val="yellow"/>
        </w:rPr>
        <w:br w:type="page"/>
      </w:r>
    </w:p>
    <w:p w:rsidR="003B39C0" w:rsidRPr="008F63A8" w:rsidRDefault="003202CA" w:rsidP="008F63A8">
      <w:pPr>
        <w:pStyle w:val="Odstavecseseznamem"/>
        <w:ind w:left="0"/>
        <w:jc w:val="both"/>
        <w:rPr>
          <w:rFonts w:ascii="Arial Narrow" w:hAnsi="Arial Narrow" w:cs="Arial"/>
          <w:b/>
          <w:bCs/>
          <w:kern w:val="32"/>
          <w:sz w:val="32"/>
          <w:szCs w:val="32"/>
        </w:rPr>
      </w:pPr>
      <w:r w:rsidRPr="008F63A8">
        <w:rPr>
          <w:rFonts w:ascii="Arial Narrow" w:hAnsi="Arial Narrow" w:cs="Times New Roman"/>
          <w:b/>
          <w:sz w:val="24"/>
          <w:szCs w:val="24"/>
        </w:rPr>
        <w:lastRenderedPageBreak/>
        <w:t xml:space="preserve">Komentář autora: </w:t>
      </w:r>
      <w:r w:rsidRPr="008F63A8">
        <w:rPr>
          <w:rFonts w:ascii="Arial Narrow" w:hAnsi="Arial Narrow" w:cs="Times New Roman"/>
          <w:i/>
          <w:sz w:val="24"/>
          <w:szCs w:val="24"/>
        </w:rPr>
        <w:t xml:space="preserve">Autor podporuje souhrnná doporučení </w:t>
      </w:r>
      <w:r w:rsidR="008F63A8" w:rsidRPr="008F63A8">
        <w:rPr>
          <w:rFonts w:ascii="Arial Narrow" w:hAnsi="Arial Narrow" w:cs="Times New Roman"/>
          <w:i/>
          <w:sz w:val="24"/>
          <w:szCs w:val="24"/>
        </w:rPr>
        <w:t xml:space="preserve">pro MŠMT </w:t>
      </w:r>
      <w:r w:rsidRPr="008F63A8">
        <w:rPr>
          <w:rFonts w:ascii="Arial Narrow" w:hAnsi="Arial Narrow" w:cs="Times New Roman"/>
          <w:i/>
          <w:sz w:val="24"/>
          <w:szCs w:val="24"/>
        </w:rPr>
        <w:t xml:space="preserve">formulovaná </w:t>
      </w:r>
      <w:r w:rsidR="008F63A8" w:rsidRPr="008F63A8">
        <w:rPr>
          <w:rFonts w:ascii="Arial Narrow" w:hAnsi="Arial Narrow" w:cs="Times New Roman"/>
          <w:i/>
          <w:sz w:val="24"/>
          <w:szCs w:val="24"/>
        </w:rPr>
        <w:t>týmem</w:t>
      </w:r>
      <w:r w:rsidRPr="008F63A8">
        <w:rPr>
          <w:rFonts w:ascii="Arial Narrow" w:hAnsi="Arial Narrow" w:cs="Times New Roman"/>
          <w:i/>
          <w:sz w:val="24"/>
          <w:szCs w:val="24"/>
        </w:rPr>
        <w:t xml:space="preserve"> K04 k tomuto textu. Z důvodu úplnosti uvedená doporučení cituje</w:t>
      </w:r>
      <w:r w:rsidR="008F63A8" w:rsidRPr="008F63A8">
        <w:rPr>
          <w:rFonts w:ascii="Arial Narrow" w:hAnsi="Arial Narrow" w:cs="Times New Roman"/>
          <w:i/>
          <w:sz w:val="24"/>
          <w:szCs w:val="24"/>
        </w:rPr>
        <w:t>:</w:t>
      </w:r>
    </w:p>
    <w:p w:rsidR="003202CA" w:rsidRPr="00B93310" w:rsidRDefault="00B93310" w:rsidP="00B93310">
      <w:pPr>
        <w:pStyle w:val="Nadpis1"/>
      </w:pPr>
      <w:bookmarkStart w:id="6" w:name="_Toc424296457"/>
      <w:r w:rsidRPr="008F63A8">
        <w:t xml:space="preserve">Souhrnná doporučení </w:t>
      </w:r>
      <w:r w:rsidR="008F63A8" w:rsidRPr="008F63A8">
        <w:t xml:space="preserve">týmu KA04 </w:t>
      </w:r>
      <w:r w:rsidRPr="008F63A8">
        <w:t>pro MŠMT</w:t>
      </w:r>
      <w:bookmarkEnd w:id="6"/>
    </w:p>
    <w:p w:rsidR="003202CA" w:rsidRPr="00E13F63" w:rsidRDefault="003202CA" w:rsidP="003202CA">
      <w:pPr>
        <w:ind w:left="357"/>
        <w:jc w:val="both"/>
        <w:rPr>
          <w:rFonts w:ascii="Arial Narrow" w:hAnsi="Arial Narrow" w:cs="Times New Roman"/>
          <w:sz w:val="24"/>
          <w:szCs w:val="24"/>
        </w:rPr>
      </w:pPr>
      <w:r w:rsidRPr="00E13F63">
        <w:rPr>
          <w:rFonts w:ascii="Arial Narrow" w:hAnsi="Arial Narrow" w:cs="Times New Roman"/>
          <w:sz w:val="24"/>
          <w:szCs w:val="24"/>
        </w:rPr>
        <w:t>Na základě vyhodnocení podkladů jednotlivých vysokých škol a s významným přispěním materiálu</w:t>
      </w:r>
      <w:r w:rsidR="008F63A8">
        <w:rPr>
          <w:rFonts w:ascii="Arial Narrow" w:hAnsi="Arial Narrow" w:cs="Times New Roman"/>
          <w:sz w:val="24"/>
          <w:szCs w:val="24"/>
        </w:rPr>
        <w:t xml:space="preserve"> vyhodnocujícího úkol č. 6 (zpracovaného týmem KA03)</w:t>
      </w:r>
      <w:r w:rsidRPr="00E13F63">
        <w:rPr>
          <w:rFonts w:ascii="Arial Narrow" w:hAnsi="Arial Narrow" w:cs="Times New Roman"/>
          <w:sz w:val="24"/>
          <w:szCs w:val="24"/>
        </w:rPr>
        <w:t xml:space="preserve"> dává</w:t>
      </w:r>
      <w:r w:rsidR="008F63A8">
        <w:rPr>
          <w:rFonts w:ascii="Arial Narrow" w:hAnsi="Arial Narrow" w:cs="Times New Roman"/>
          <w:sz w:val="24"/>
          <w:szCs w:val="24"/>
        </w:rPr>
        <w:t xml:space="preserve"> tým KA04</w:t>
      </w:r>
      <w:r w:rsidRPr="00E13F63">
        <w:rPr>
          <w:rFonts w:ascii="Arial Narrow" w:hAnsi="Arial Narrow" w:cs="Times New Roman"/>
          <w:sz w:val="24"/>
          <w:szCs w:val="24"/>
        </w:rPr>
        <w:t xml:space="preserve"> MŠMT v oblasti bilance zdrojů tato doporučení:</w:t>
      </w:r>
    </w:p>
    <w:p w:rsidR="003202CA" w:rsidRPr="00E13F63" w:rsidRDefault="003202CA" w:rsidP="003202CA">
      <w:pPr>
        <w:pStyle w:val="Odstavecseseznamem"/>
        <w:numPr>
          <w:ilvl w:val="0"/>
          <w:numId w:val="4"/>
        </w:numPr>
        <w:spacing w:after="160" w:line="259" w:lineRule="auto"/>
        <w:ind w:left="426"/>
        <w:contextualSpacing w:val="0"/>
        <w:jc w:val="both"/>
        <w:rPr>
          <w:rFonts w:ascii="Arial Narrow" w:hAnsi="Arial Narrow" w:cs="Times New Roman"/>
          <w:sz w:val="24"/>
          <w:szCs w:val="24"/>
        </w:rPr>
      </w:pPr>
      <w:r w:rsidRPr="00E13F63">
        <w:rPr>
          <w:rFonts w:ascii="Arial Narrow" w:hAnsi="Arial Narrow" w:cs="Times New Roman"/>
          <w:sz w:val="24"/>
          <w:szCs w:val="24"/>
        </w:rPr>
        <w:t xml:space="preserve">Vysoké školy pociťují zásadní napětí v bilanci disponibilních finančních zdrojů, a to jak z hlediska jejich celkového objemu, tak z hlediska odlišných pravidel pro jejich využití (oblast vzdělávání a oblast výzkumu, podpora institucionální a projektová apod.). </w:t>
      </w:r>
      <w:r w:rsidRPr="00E13F63">
        <w:rPr>
          <w:rFonts w:ascii="Arial Narrow" w:hAnsi="Arial Narrow" w:cs="Times New Roman"/>
          <w:b/>
          <w:sz w:val="24"/>
          <w:szCs w:val="24"/>
        </w:rPr>
        <w:t>Doporučujeme, aby MŠMT v souvislosti s přípravou rozpočtu vždy provedlo důsledné a metodologicky obhajitelné srovnání (i mezinárodní) úrovně financování vysokého školství v celé struktuře jeho činností</w:t>
      </w:r>
      <w:r w:rsidRPr="00E13F63">
        <w:rPr>
          <w:rFonts w:ascii="Arial Narrow" w:hAnsi="Arial Narrow" w:cs="Times New Roman"/>
          <w:sz w:val="24"/>
          <w:szCs w:val="24"/>
        </w:rPr>
        <w:t>. Takovýto rozbor by pak byl základem pro vyjednávání na úrovni státu i vlastního ministerstva. Zároveň doporučujeme, aby takovýto rozbor pracoval nejen s údaji o předcházejícím období, ale i s prognózou na 3 – 5 let.</w:t>
      </w:r>
    </w:p>
    <w:p w:rsidR="003202CA" w:rsidRPr="00E13F63" w:rsidRDefault="003202CA" w:rsidP="003202CA">
      <w:pPr>
        <w:pStyle w:val="Odstavecseseznamem"/>
        <w:numPr>
          <w:ilvl w:val="0"/>
          <w:numId w:val="4"/>
        </w:numPr>
        <w:spacing w:after="160" w:line="259" w:lineRule="auto"/>
        <w:ind w:left="426"/>
        <w:contextualSpacing w:val="0"/>
        <w:jc w:val="both"/>
        <w:rPr>
          <w:rFonts w:ascii="Arial Narrow" w:hAnsi="Arial Narrow" w:cs="Times New Roman"/>
          <w:sz w:val="24"/>
          <w:szCs w:val="24"/>
        </w:rPr>
      </w:pPr>
      <w:r w:rsidRPr="00E13F63">
        <w:rPr>
          <w:rFonts w:ascii="Arial Narrow" w:hAnsi="Arial Narrow" w:cs="Times New Roman"/>
          <w:sz w:val="24"/>
          <w:szCs w:val="24"/>
        </w:rPr>
        <w:t xml:space="preserve">Zejména v projektové podpoře vzdělávacích a výzkumných aktivit (a aktivit rozvojových) pociťují vysoké školy poměrně malý důraz na rozvoj lidských zdrojů. </w:t>
      </w:r>
      <w:r w:rsidRPr="00E13F63">
        <w:rPr>
          <w:rFonts w:ascii="Arial Narrow" w:hAnsi="Arial Narrow" w:cs="Times New Roman"/>
          <w:b/>
          <w:sz w:val="24"/>
          <w:szCs w:val="24"/>
        </w:rPr>
        <w:t xml:space="preserve">MŠMT by mělo podle možností (např. OP VVV) projektově podpořit rozvoj mobility akademických pracovníků, příchod významných odborníků ze zahraničí na naše vysoké školy, vytváření </w:t>
      </w:r>
      <w:proofErr w:type="spellStart"/>
      <w:r w:rsidRPr="00E13F63">
        <w:rPr>
          <w:rFonts w:ascii="Arial Narrow" w:hAnsi="Arial Narrow" w:cs="Times New Roman"/>
          <w:b/>
          <w:sz w:val="24"/>
          <w:szCs w:val="24"/>
        </w:rPr>
        <w:t>postdoktorských</w:t>
      </w:r>
      <w:proofErr w:type="spellEnd"/>
      <w:r w:rsidRPr="00E13F63">
        <w:rPr>
          <w:rFonts w:ascii="Arial Narrow" w:hAnsi="Arial Narrow" w:cs="Times New Roman"/>
          <w:b/>
          <w:sz w:val="24"/>
          <w:szCs w:val="24"/>
        </w:rPr>
        <w:t xml:space="preserve"> pozic s konkurzy na mezinárodní úrovni </w:t>
      </w:r>
      <w:r w:rsidRPr="00E13F63">
        <w:rPr>
          <w:rFonts w:ascii="Arial Narrow" w:hAnsi="Arial Narrow" w:cs="Times New Roman"/>
          <w:sz w:val="24"/>
          <w:szCs w:val="24"/>
        </w:rPr>
        <w:t>apod. Sledován by měl být přínos nejen pro oblast výzkumu, ale i pro zkvalitnění a profilaci vzdělávací činnosti.</w:t>
      </w:r>
    </w:p>
    <w:p w:rsidR="003202CA" w:rsidRPr="00E13F63" w:rsidRDefault="003202CA" w:rsidP="003202CA">
      <w:pPr>
        <w:pStyle w:val="Odstavecseseznamem"/>
        <w:numPr>
          <w:ilvl w:val="0"/>
          <w:numId w:val="4"/>
        </w:numPr>
        <w:spacing w:after="160" w:line="259" w:lineRule="auto"/>
        <w:ind w:left="426"/>
        <w:contextualSpacing w:val="0"/>
        <w:jc w:val="both"/>
        <w:rPr>
          <w:rFonts w:ascii="Arial Narrow" w:hAnsi="Arial Narrow" w:cs="Times New Roman"/>
          <w:sz w:val="24"/>
          <w:szCs w:val="24"/>
        </w:rPr>
      </w:pPr>
      <w:r w:rsidRPr="00E13F63">
        <w:rPr>
          <w:rFonts w:ascii="Arial Narrow" w:hAnsi="Arial Narrow" w:cs="Times New Roman"/>
          <w:sz w:val="24"/>
          <w:szCs w:val="24"/>
        </w:rPr>
        <w:t xml:space="preserve">Vysoké školy poukazují na rozsah a nízkou efektivitu výkaznictví. </w:t>
      </w:r>
      <w:r w:rsidRPr="00E13F63">
        <w:rPr>
          <w:rFonts w:ascii="Arial Narrow" w:hAnsi="Arial Narrow" w:cs="Times New Roman"/>
          <w:b/>
          <w:sz w:val="24"/>
          <w:szCs w:val="24"/>
        </w:rPr>
        <w:t>Doporučujeme, aby byla provedena zevrubná analýza sběru a využití dat o činnosti vysokých škol, a to nejen v rámci vlastního MŠMT. Doporučujeme, aby MŠMT postoupilo v elektronizaci sběru dat a celkové komunikace s vysokými školami tak, aby byly odstraněny multiplicity poskytování údajů a aby se zlepšila úroveň analytických činností, a to při celkovém snížení administrativní náročnosti.</w:t>
      </w:r>
    </w:p>
    <w:p w:rsidR="003202CA" w:rsidRPr="00E13F63" w:rsidRDefault="003202CA" w:rsidP="003202CA">
      <w:pPr>
        <w:pStyle w:val="Odstavecseseznamem"/>
        <w:numPr>
          <w:ilvl w:val="0"/>
          <w:numId w:val="4"/>
        </w:numPr>
        <w:spacing w:after="160" w:line="259" w:lineRule="auto"/>
        <w:ind w:left="426"/>
        <w:contextualSpacing w:val="0"/>
        <w:jc w:val="both"/>
        <w:rPr>
          <w:rFonts w:ascii="Arial Narrow" w:hAnsi="Arial Narrow" w:cs="Times New Roman"/>
          <w:sz w:val="24"/>
          <w:szCs w:val="24"/>
        </w:rPr>
      </w:pPr>
      <w:r w:rsidRPr="00E13F63">
        <w:rPr>
          <w:rFonts w:ascii="Arial Narrow" w:hAnsi="Arial Narrow" w:cs="Times New Roman"/>
          <w:sz w:val="24"/>
          <w:szCs w:val="24"/>
        </w:rPr>
        <w:t xml:space="preserve">Vysoké školy poukazují na klesající důraz na kvalitu vzdělávací činnosti vysokých škol. </w:t>
      </w:r>
      <w:r w:rsidRPr="00E13F63">
        <w:rPr>
          <w:rFonts w:ascii="Arial Narrow" w:hAnsi="Arial Narrow" w:cs="Times New Roman"/>
          <w:b/>
          <w:sz w:val="24"/>
          <w:szCs w:val="24"/>
        </w:rPr>
        <w:t>MŠMT by mělo podpořit změny v akreditačních procesech a přispět k diverzifikaci studijních programů</w:t>
      </w:r>
      <w:r w:rsidRPr="00E13F63">
        <w:rPr>
          <w:rFonts w:ascii="Arial Narrow" w:hAnsi="Arial Narrow" w:cs="Times New Roman"/>
          <w:sz w:val="24"/>
          <w:szCs w:val="24"/>
        </w:rPr>
        <w:t xml:space="preserve">. Zásadní význam bude mít sledování kvality veškerých činností vysoké školy. Speciálně pro oblast vzdělávací činnosti nelze podle názoru vysokých škol brát za zásadní a takřka jediné kvalitativní kritérium rozsah a mezinárodní ohlas výzkumné činnosti. </w:t>
      </w:r>
      <w:r w:rsidRPr="00E13F63">
        <w:rPr>
          <w:rFonts w:ascii="Arial Narrow" w:hAnsi="Arial Narrow" w:cs="Times New Roman"/>
          <w:b/>
          <w:sz w:val="24"/>
          <w:szCs w:val="24"/>
        </w:rPr>
        <w:t>Speciálně je zdůrazňován požadavek na hodnocení kvality absolventa (zaměstnanost absolventů je ovšem jen jedním z kritérií).</w:t>
      </w:r>
    </w:p>
    <w:p w:rsidR="00566689" w:rsidRPr="003B39C0" w:rsidRDefault="003202CA" w:rsidP="00C130A9">
      <w:pPr>
        <w:pStyle w:val="Odstavecseseznamem"/>
        <w:numPr>
          <w:ilvl w:val="0"/>
          <w:numId w:val="4"/>
        </w:numPr>
        <w:spacing w:after="160" w:line="259" w:lineRule="auto"/>
        <w:ind w:left="426"/>
        <w:contextualSpacing w:val="0"/>
        <w:jc w:val="both"/>
        <w:rPr>
          <w:rFonts w:ascii="Arial Narrow" w:hAnsi="Arial Narrow"/>
        </w:rPr>
      </w:pPr>
      <w:r w:rsidRPr="003B39C0">
        <w:rPr>
          <w:rFonts w:ascii="Arial Narrow" w:hAnsi="Arial Narrow" w:cs="Times New Roman"/>
          <w:sz w:val="24"/>
          <w:szCs w:val="24"/>
        </w:rPr>
        <w:t xml:space="preserve">Vysoké školy poukazují na nízkou robustnost hodnotících kritérií a pravidel pro financování (včetně např. stanovení počtu započtených studií do modelu financování – limity počtu studentů). </w:t>
      </w:r>
      <w:r w:rsidRPr="003B39C0">
        <w:rPr>
          <w:rFonts w:ascii="Arial Narrow" w:hAnsi="Arial Narrow" w:cs="Times New Roman"/>
          <w:b/>
          <w:sz w:val="24"/>
          <w:szCs w:val="24"/>
        </w:rPr>
        <w:t xml:space="preserve">Doporučujeme, aby používaná pravidla byla podložena odpovídajícími analýzami a aby byla </w:t>
      </w:r>
      <w:r w:rsidRPr="003B39C0">
        <w:rPr>
          <w:rFonts w:ascii="Arial Narrow" w:hAnsi="Arial Narrow" w:cs="Times New Roman"/>
          <w:b/>
          <w:sz w:val="24"/>
          <w:szCs w:val="24"/>
        </w:rPr>
        <w:lastRenderedPageBreak/>
        <w:t>v souladu s národními a evropskými strategiemi. Zároveň by pravidla měla být co nejjednodušší a jejich působení by mělo být průběžně testováno z hlediska „cílové funkce“, tj. strategických cílů.</w:t>
      </w:r>
    </w:p>
    <w:sectPr w:rsidR="00566689" w:rsidRPr="003B39C0" w:rsidSect="001B2578">
      <w:headerReference w:type="even" r:id="rId69"/>
      <w:headerReference w:type="default" r:id="rId70"/>
      <w:footerReference w:type="even" r:id="rId71"/>
      <w:footerReference w:type="default" r:id="rId72"/>
      <w:pgSz w:w="11906" w:h="16838"/>
      <w:pgMar w:top="1814" w:right="1417" w:bottom="1417" w:left="1417" w:header="540" w:footer="1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EFE" w:rsidRDefault="00BC2EFE">
      <w:r>
        <w:separator/>
      </w:r>
    </w:p>
  </w:endnote>
  <w:endnote w:type="continuationSeparator" w:id="0">
    <w:p w:rsidR="00BC2EFE" w:rsidRDefault="00BC2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B" w:rsidRDefault="008063BB">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8063BB" w:rsidRDefault="008063BB">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B" w:rsidRDefault="008063BB">
    <w:pPr>
      <w:pStyle w:val="Zpat"/>
      <w:ind w:right="360" w:hanging="1417"/>
      <w:jc w:val="center"/>
      <w:rPr>
        <w:rFonts w:ascii="Arial Narrow" w:hAnsi="Arial Narrow"/>
        <w:color w:val="5F5F5F"/>
        <w:sz w:val="16"/>
      </w:rPr>
    </w:pPr>
  </w:p>
  <w:p w:rsidR="008063BB" w:rsidRDefault="008063BB">
    <w:pPr>
      <w:pStyle w:val="Zpat"/>
      <w:framePr w:wrap="notBeside" w:vAnchor="page" w:hAnchor="page" w:x="11137" w:y="16047"/>
      <w:rPr>
        <w:rStyle w:val="slostrnky"/>
        <w:color w:val="5F5F5F"/>
      </w:rPr>
    </w:pPr>
    <w:r>
      <w:rPr>
        <w:rStyle w:val="slostrnky"/>
        <w:color w:val="5F5F5F"/>
      </w:rPr>
      <w:fldChar w:fldCharType="begin"/>
    </w:r>
    <w:r>
      <w:rPr>
        <w:rStyle w:val="slostrnky"/>
        <w:color w:val="5F5F5F"/>
      </w:rPr>
      <w:instrText xml:space="preserve">PAGE  </w:instrText>
    </w:r>
    <w:r>
      <w:rPr>
        <w:rStyle w:val="slostrnky"/>
        <w:color w:val="5F5F5F"/>
      </w:rPr>
      <w:fldChar w:fldCharType="separate"/>
    </w:r>
    <w:r w:rsidR="00CB4551">
      <w:rPr>
        <w:rStyle w:val="slostrnky"/>
        <w:noProof/>
        <w:color w:val="5F5F5F"/>
      </w:rPr>
      <w:t>66</w:t>
    </w:r>
    <w:r>
      <w:rPr>
        <w:rStyle w:val="slostrnky"/>
        <w:color w:val="5F5F5F"/>
      </w:rPr>
      <w:fldChar w:fldCharType="end"/>
    </w:r>
  </w:p>
  <w:p w:rsidR="008063BB" w:rsidRDefault="008063BB" w:rsidP="00566689">
    <w:pPr>
      <w:pStyle w:val="Zpat"/>
      <w:tabs>
        <w:tab w:val="left" w:pos="604"/>
        <w:tab w:val="left" w:pos="836"/>
      </w:tabs>
      <w:rPr>
        <w:color w:val="5F5F5F"/>
        <w:sz w:val="18"/>
      </w:rPr>
    </w:pPr>
    <w:r>
      <w:rPr>
        <w:noProof/>
        <w:color w:val="5F5F5F"/>
        <w:sz w:val="18"/>
      </w:rPr>
      <w:drawing>
        <wp:anchor distT="0" distB="0" distL="114300" distR="114300" simplePos="0" relativeHeight="251657728" behindDoc="0" locked="0" layoutInCell="1" allowOverlap="1">
          <wp:simplePos x="0" y="0"/>
          <wp:positionH relativeFrom="column">
            <wp:posOffset>-880745</wp:posOffset>
          </wp:positionH>
          <wp:positionV relativeFrom="paragraph">
            <wp:posOffset>26670</wp:posOffset>
          </wp:positionV>
          <wp:extent cx="7510780" cy="161290"/>
          <wp:effectExtent l="19050" t="0" r="0" b="0"/>
          <wp:wrapNone/>
          <wp:docPr id="3" name="obrázek 3" descr="kuličky d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uličky dole.jpg"/>
                  <pic:cNvPicPr>
                    <a:picLocks noChangeAspect="1" noChangeArrowheads="1"/>
                  </pic:cNvPicPr>
                </pic:nvPicPr>
                <pic:blipFill>
                  <a:blip r:embed="rId1"/>
                  <a:stretch>
                    <a:fillRect/>
                  </a:stretch>
                </pic:blipFill>
                <pic:spPr bwMode="auto">
                  <a:xfrm flipV="1">
                    <a:off x="0" y="0"/>
                    <a:ext cx="7510780" cy="161290"/>
                  </a:xfrm>
                  <a:prstGeom prst="rect">
                    <a:avLst/>
                  </a:prstGeom>
                  <a:noFill/>
                  <a:ln w="9525">
                    <a:noFill/>
                    <a:miter lim="800000"/>
                    <a:headEnd/>
                    <a:tailEnd/>
                  </a:ln>
                </pic:spPr>
              </pic:pic>
            </a:graphicData>
          </a:graphic>
        </wp:anchor>
      </w:drawing>
    </w:r>
    <w:r>
      <w:rPr>
        <w:noProof/>
        <w:color w:val="5F5F5F"/>
        <w:sz w:val="18"/>
      </w:rPr>
      <w:drawing>
        <wp:anchor distT="0" distB="0" distL="114300" distR="114300" simplePos="0" relativeHeight="251658752" behindDoc="1" locked="0" layoutInCell="1" allowOverlap="1">
          <wp:simplePos x="0" y="0"/>
          <wp:positionH relativeFrom="column">
            <wp:posOffset>1138555</wp:posOffset>
          </wp:positionH>
          <wp:positionV relativeFrom="paragraph">
            <wp:posOffset>292100</wp:posOffset>
          </wp:positionV>
          <wp:extent cx="3495040" cy="770890"/>
          <wp:effectExtent l="19050" t="0" r="0" b="0"/>
          <wp:wrapNone/>
          <wp:docPr id="2" name="obrázek 2" descr="..\OPVK_hor_zakladni_logolink_C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VK_hor_zakladni_logolink_CB_cz.jpg"/>
                  <pic:cNvPicPr>
                    <a:picLocks noChangeAspect="1" noChangeArrowheads="1"/>
                  </pic:cNvPicPr>
                </pic:nvPicPr>
                <pic:blipFill>
                  <a:blip r:embed="rId2"/>
                  <a:stretch>
                    <a:fillRect/>
                  </a:stretch>
                </pic:blipFill>
                <pic:spPr bwMode="auto">
                  <a:xfrm>
                    <a:off x="0" y="0"/>
                    <a:ext cx="3495040" cy="770890"/>
                  </a:xfrm>
                  <a:prstGeom prst="rect">
                    <a:avLst/>
                  </a:prstGeom>
                  <a:noFill/>
                  <a:ln w="9525">
                    <a:noFill/>
                    <a:miter lim="800000"/>
                    <a:headEnd/>
                    <a:tailEnd/>
                  </a:ln>
                </pic:spPr>
              </pic:pic>
            </a:graphicData>
          </a:graphic>
        </wp:anchor>
      </w:drawing>
    </w:r>
    <w:r>
      <w:rPr>
        <w:color w:val="5F5F5F"/>
        <w:sz w:val="18"/>
      </w:rPr>
      <w:tab/>
    </w:r>
    <w:r>
      <w:rPr>
        <w:color w:val="5F5F5F"/>
        <w:sz w:val="18"/>
      </w:rPr>
      <w:tab/>
    </w:r>
    <w:r>
      <w:rPr>
        <w:color w:val="5F5F5F"/>
        <w:sz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EFE" w:rsidRDefault="00BC2EFE">
      <w:r>
        <w:separator/>
      </w:r>
    </w:p>
  </w:footnote>
  <w:footnote w:type="continuationSeparator" w:id="0">
    <w:p w:rsidR="00BC2EFE" w:rsidRDefault="00BC2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B" w:rsidRDefault="008063BB">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8063BB" w:rsidRDefault="008063BB">
    <w:pPr>
      <w:pStyle w:val="Zhlav"/>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B" w:rsidRDefault="008063BB">
    <w:pPr>
      <w:pStyle w:val="Zhlav"/>
      <w:ind w:right="360"/>
      <w:jc w:val="center"/>
      <w:rPr>
        <w:rFonts w:ascii="Arial" w:hAnsi="Arial" w:cs="Arial"/>
        <w:color w:val="5F5F5F"/>
      </w:rPr>
    </w:pPr>
    <w:r>
      <w:rPr>
        <w:rFonts w:ascii="Arial" w:hAnsi="Arial" w:cs="Arial"/>
        <w:noProof/>
        <w:color w:val="5F5F5F"/>
      </w:rPr>
      <w:drawing>
        <wp:inline distT="0" distB="0" distL="0" distR="0">
          <wp:extent cx="2047185" cy="599388"/>
          <wp:effectExtent l="19050" t="0" r="0" b="0"/>
          <wp:docPr id="1" name="obrázek 1" descr="LOGO IPN pro hl_P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PN pro hl_PAP.jpg"/>
                  <pic:cNvPicPr>
                    <a:picLocks noChangeAspect="1" noChangeArrowheads="1"/>
                  </pic:cNvPicPr>
                </pic:nvPicPr>
                <pic:blipFill>
                  <a:blip r:embed="rId1"/>
                  <a:stretch>
                    <a:fillRect/>
                  </a:stretch>
                </pic:blipFill>
                <pic:spPr bwMode="auto">
                  <a:xfrm>
                    <a:off x="0" y="0"/>
                    <a:ext cx="2047185" cy="599388"/>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A10C38"/>
    <w:multiLevelType w:val="hybridMultilevel"/>
    <w:tmpl w:val="7D743C72"/>
    <w:lvl w:ilvl="0" w:tplc="2DE65C0A">
      <w:numFmt w:val="bullet"/>
      <w:lvlText w:val="-"/>
      <w:lvlJc w:val="left"/>
      <w:pPr>
        <w:ind w:left="720" w:hanging="360"/>
      </w:pPr>
      <w:rPr>
        <w:rFonts w:ascii="Arial Narrow" w:eastAsiaTheme="majorEastAsia" w:hAnsi="Arial Narrow"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407637D2"/>
    <w:multiLevelType w:val="hybridMultilevel"/>
    <w:tmpl w:val="4344D3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5A857C15"/>
    <w:multiLevelType w:val="hybridMultilevel"/>
    <w:tmpl w:val="9280B20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67211A04"/>
    <w:multiLevelType w:val="hybridMultilevel"/>
    <w:tmpl w:val="73504262"/>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nsid w:val="7B914D39"/>
    <w:multiLevelType w:val="hybridMultilevel"/>
    <w:tmpl w:val="6DB8B11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noPunctuationKerning/>
  <w:characterSpacingControl w:val="doNotCompress"/>
  <w:hdrShapeDefaults>
    <o:shapedefaults v:ext="edit" spidmax="2049">
      <o:colormru v:ext="edit" colors="#eaeaea,#f3f3f3"/>
    </o:shapedefaults>
  </w:hdrShapeDefaults>
  <w:footnotePr>
    <w:footnote w:id="-1"/>
    <w:footnote w:id="0"/>
  </w:footnotePr>
  <w:endnotePr>
    <w:endnote w:id="-1"/>
    <w:endnote w:id="0"/>
  </w:endnotePr>
  <w:compat>
    <w:compatSetting w:name="compatibilityMode" w:uri="http://schemas.microsoft.com/office/word" w:val="12"/>
  </w:compat>
  <w:rsids>
    <w:rsidRoot w:val="00B85C5E"/>
    <w:rsid w:val="00011A4B"/>
    <w:rsid w:val="00040F4A"/>
    <w:rsid w:val="000B4FFC"/>
    <w:rsid w:val="000D6968"/>
    <w:rsid w:val="000F5834"/>
    <w:rsid w:val="000F7854"/>
    <w:rsid w:val="00114943"/>
    <w:rsid w:val="001316F1"/>
    <w:rsid w:val="00142EED"/>
    <w:rsid w:val="001911CA"/>
    <w:rsid w:val="00193EB5"/>
    <w:rsid w:val="001A0287"/>
    <w:rsid w:val="001B2578"/>
    <w:rsid w:val="001C2032"/>
    <w:rsid w:val="001D08CC"/>
    <w:rsid w:val="00241A8B"/>
    <w:rsid w:val="002671DD"/>
    <w:rsid w:val="00282C51"/>
    <w:rsid w:val="002969D6"/>
    <w:rsid w:val="002A4EC2"/>
    <w:rsid w:val="002B5F56"/>
    <w:rsid w:val="002C4413"/>
    <w:rsid w:val="00302637"/>
    <w:rsid w:val="00317C98"/>
    <w:rsid w:val="003202CA"/>
    <w:rsid w:val="0034309E"/>
    <w:rsid w:val="00354BF9"/>
    <w:rsid w:val="003566A3"/>
    <w:rsid w:val="00395FF4"/>
    <w:rsid w:val="003B39C0"/>
    <w:rsid w:val="003C4480"/>
    <w:rsid w:val="003F6D80"/>
    <w:rsid w:val="00406C07"/>
    <w:rsid w:val="00410CAC"/>
    <w:rsid w:val="00466587"/>
    <w:rsid w:val="00467AC9"/>
    <w:rsid w:val="0048025F"/>
    <w:rsid w:val="004B67DE"/>
    <w:rsid w:val="004B6FAE"/>
    <w:rsid w:val="004C2637"/>
    <w:rsid w:val="004F2F46"/>
    <w:rsid w:val="00566689"/>
    <w:rsid w:val="00583AEA"/>
    <w:rsid w:val="006553AE"/>
    <w:rsid w:val="00663582"/>
    <w:rsid w:val="00663B94"/>
    <w:rsid w:val="00671DD6"/>
    <w:rsid w:val="00685C8C"/>
    <w:rsid w:val="006A064C"/>
    <w:rsid w:val="006C53FF"/>
    <w:rsid w:val="006D3C63"/>
    <w:rsid w:val="006F5FA0"/>
    <w:rsid w:val="00776048"/>
    <w:rsid w:val="00794584"/>
    <w:rsid w:val="0079506F"/>
    <w:rsid w:val="007E4229"/>
    <w:rsid w:val="007E55D0"/>
    <w:rsid w:val="007F1626"/>
    <w:rsid w:val="00804771"/>
    <w:rsid w:val="00805D59"/>
    <w:rsid w:val="008063BB"/>
    <w:rsid w:val="0080708A"/>
    <w:rsid w:val="0082489E"/>
    <w:rsid w:val="00840385"/>
    <w:rsid w:val="00855D24"/>
    <w:rsid w:val="0086472B"/>
    <w:rsid w:val="00880389"/>
    <w:rsid w:val="008836F1"/>
    <w:rsid w:val="008A0051"/>
    <w:rsid w:val="008A47CB"/>
    <w:rsid w:val="008B3D10"/>
    <w:rsid w:val="008C040F"/>
    <w:rsid w:val="008E5E16"/>
    <w:rsid w:val="008F63A8"/>
    <w:rsid w:val="008F7EDA"/>
    <w:rsid w:val="00940CAA"/>
    <w:rsid w:val="009415F2"/>
    <w:rsid w:val="009578E3"/>
    <w:rsid w:val="009606CD"/>
    <w:rsid w:val="00976B98"/>
    <w:rsid w:val="009A3CE3"/>
    <w:rsid w:val="009C460C"/>
    <w:rsid w:val="009E5C0E"/>
    <w:rsid w:val="009E7D3B"/>
    <w:rsid w:val="009F04D7"/>
    <w:rsid w:val="00A20802"/>
    <w:rsid w:val="00A407F5"/>
    <w:rsid w:val="00A43DCA"/>
    <w:rsid w:val="00A72B54"/>
    <w:rsid w:val="00A92C24"/>
    <w:rsid w:val="00AA32A6"/>
    <w:rsid w:val="00AC2081"/>
    <w:rsid w:val="00AF48D7"/>
    <w:rsid w:val="00AF6C00"/>
    <w:rsid w:val="00B10403"/>
    <w:rsid w:val="00B213F3"/>
    <w:rsid w:val="00B377FF"/>
    <w:rsid w:val="00B5358D"/>
    <w:rsid w:val="00B85C5E"/>
    <w:rsid w:val="00B93310"/>
    <w:rsid w:val="00BA10AB"/>
    <w:rsid w:val="00BC2EFE"/>
    <w:rsid w:val="00BE66D0"/>
    <w:rsid w:val="00C130A9"/>
    <w:rsid w:val="00C45262"/>
    <w:rsid w:val="00C90E20"/>
    <w:rsid w:val="00CA7EE5"/>
    <w:rsid w:val="00CB4551"/>
    <w:rsid w:val="00CD22B5"/>
    <w:rsid w:val="00D00EFA"/>
    <w:rsid w:val="00D3350A"/>
    <w:rsid w:val="00D524D6"/>
    <w:rsid w:val="00D56DF4"/>
    <w:rsid w:val="00D64C82"/>
    <w:rsid w:val="00DC28D6"/>
    <w:rsid w:val="00DD5570"/>
    <w:rsid w:val="00DF0FDE"/>
    <w:rsid w:val="00DF5D5D"/>
    <w:rsid w:val="00E13F63"/>
    <w:rsid w:val="00E43C14"/>
    <w:rsid w:val="00E706C4"/>
    <w:rsid w:val="00E841C4"/>
    <w:rsid w:val="00EC2EDC"/>
    <w:rsid w:val="00ED40BC"/>
    <w:rsid w:val="00F043D6"/>
    <w:rsid w:val="00F34DF5"/>
    <w:rsid w:val="00F50B60"/>
    <w:rsid w:val="00FD394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aeaea,#f3f3f3"/>
    </o:shapedefaults>
    <o:shapelayout v:ext="edit">
      <o:idmap v:ext="edit" data="1"/>
    </o:shapelayout>
  </w:shapeDefaults>
  <w:decimalSymbol w:val=","/>
  <w:listSeparator w:val=";"/>
  <w15:docId w15:val="{B2E424BF-0C85-46AA-91B6-42897E831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85C5E"/>
    <w:pPr>
      <w:spacing w:after="200" w:line="276" w:lineRule="auto"/>
    </w:pPr>
    <w:rPr>
      <w:rFonts w:asciiTheme="minorHAnsi" w:eastAsiaTheme="minorEastAsia" w:hAnsiTheme="minorHAnsi" w:cstheme="minorBidi"/>
      <w:sz w:val="22"/>
      <w:szCs w:val="22"/>
    </w:rPr>
  </w:style>
  <w:style w:type="paragraph" w:styleId="Nadpis1">
    <w:name w:val="heading 1"/>
    <w:basedOn w:val="Normln"/>
    <w:next w:val="Normln"/>
    <w:qFormat/>
    <w:rsid w:val="009C460C"/>
    <w:pPr>
      <w:keepNext/>
      <w:spacing w:before="240" w:after="60"/>
      <w:outlineLvl w:val="0"/>
    </w:pPr>
    <w:rPr>
      <w:rFonts w:ascii="Arial" w:hAnsi="Arial" w:cs="Arial"/>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rsid w:val="009C460C"/>
    <w:pPr>
      <w:tabs>
        <w:tab w:val="center" w:pos="4536"/>
        <w:tab w:val="right" w:pos="9072"/>
      </w:tabs>
    </w:pPr>
  </w:style>
  <w:style w:type="paragraph" w:styleId="Zpat">
    <w:name w:val="footer"/>
    <w:basedOn w:val="Normln"/>
    <w:semiHidden/>
    <w:rsid w:val="009C460C"/>
    <w:pPr>
      <w:tabs>
        <w:tab w:val="center" w:pos="4536"/>
        <w:tab w:val="right" w:pos="9072"/>
      </w:tabs>
    </w:pPr>
  </w:style>
  <w:style w:type="character" w:styleId="slostrnky">
    <w:name w:val="page number"/>
    <w:basedOn w:val="Standardnpsmoodstavce"/>
    <w:semiHidden/>
    <w:rsid w:val="009C460C"/>
    <w:rPr>
      <w:rFonts w:ascii="Arial Narrow" w:hAnsi="Arial Narrow"/>
      <w:sz w:val="18"/>
    </w:rPr>
  </w:style>
  <w:style w:type="paragraph" w:customStyle="1" w:styleId="ipntext">
    <w:name w:val="ipn text"/>
    <w:basedOn w:val="Normln"/>
    <w:rsid w:val="009C460C"/>
    <w:rPr>
      <w:rFonts w:ascii="Arial Narrow" w:hAnsi="Arial Narrow"/>
      <w:position w:val="14"/>
    </w:rPr>
  </w:style>
  <w:style w:type="paragraph" w:styleId="Textbubliny">
    <w:name w:val="Balloon Text"/>
    <w:basedOn w:val="Normln"/>
    <w:link w:val="TextbublinyChar"/>
    <w:uiPriority w:val="99"/>
    <w:semiHidden/>
    <w:unhideWhenUsed/>
    <w:rsid w:val="00302637"/>
    <w:rPr>
      <w:rFonts w:ascii="Tahoma" w:hAnsi="Tahoma" w:cs="Tahoma"/>
      <w:sz w:val="16"/>
      <w:szCs w:val="16"/>
    </w:rPr>
  </w:style>
  <w:style w:type="character" w:customStyle="1" w:styleId="TextbublinyChar">
    <w:name w:val="Text bubliny Char"/>
    <w:basedOn w:val="Standardnpsmoodstavce"/>
    <w:link w:val="Textbubliny"/>
    <w:uiPriority w:val="99"/>
    <w:semiHidden/>
    <w:rsid w:val="00302637"/>
    <w:rPr>
      <w:rFonts w:ascii="Tahoma" w:hAnsi="Tahoma" w:cs="Tahoma"/>
      <w:sz w:val="16"/>
      <w:szCs w:val="16"/>
    </w:rPr>
  </w:style>
  <w:style w:type="paragraph" w:customStyle="1" w:styleId="Default">
    <w:name w:val="Default"/>
    <w:rsid w:val="00B85C5E"/>
    <w:pPr>
      <w:autoSpaceDE w:val="0"/>
      <w:autoSpaceDN w:val="0"/>
      <w:adjustRightInd w:val="0"/>
    </w:pPr>
    <w:rPr>
      <w:rFonts w:ascii="Arial" w:eastAsiaTheme="minorEastAsia" w:hAnsi="Arial" w:cs="Arial"/>
      <w:color w:val="000000"/>
      <w:sz w:val="24"/>
      <w:szCs w:val="24"/>
    </w:rPr>
  </w:style>
  <w:style w:type="paragraph" w:styleId="z-Zatekformule">
    <w:name w:val="HTML Top of Form"/>
    <w:basedOn w:val="Normln"/>
    <w:next w:val="Normln"/>
    <w:link w:val="z-ZatekformuleChar"/>
    <w:hidden/>
    <w:uiPriority w:val="99"/>
    <w:semiHidden/>
    <w:unhideWhenUsed/>
    <w:rsid w:val="00B85C5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ZatekformuleChar">
    <w:name w:val="z-Začátek formuláře Char"/>
    <w:basedOn w:val="Standardnpsmoodstavce"/>
    <w:link w:val="z-Zatekformule"/>
    <w:uiPriority w:val="99"/>
    <w:semiHidden/>
    <w:rsid w:val="00B85C5E"/>
    <w:rPr>
      <w:rFonts w:ascii="Arial" w:hAnsi="Arial" w:cs="Arial"/>
      <w:vanish/>
      <w:sz w:val="16"/>
      <w:szCs w:val="16"/>
    </w:rPr>
  </w:style>
  <w:style w:type="paragraph" w:styleId="z-Konecformule">
    <w:name w:val="HTML Bottom of Form"/>
    <w:basedOn w:val="Normln"/>
    <w:next w:val="Normln"/>
    <w:link w:val="z-KonecformuleChar"/>
    <w:hidden/>
    <w:uiPriority w:val="99"/>
    <w:unhideWhenUsed/>
    <w:rsid w:val="00B85C5E"/>
    <w:pPr>
      <w:pBdr>
        <w:top w:val="single" w:sz="6" w:space="1" w:color="auto"/>
      </w:pBdr>
      <w:spacing w:after="0" w:line="240" w:lineRule="auto"/>
      <w:jc w:val="center"/>
    </w:pPr>
    <w:rPr>
      <w:rFonts w:ascii="Arial" w:eastAsia="Times New Roman" w:hAnsi="Arial" w:cs="Arial"/>
      <w:vanish/>
      <w:sz w:val="16"/>
      <w:szCs w:val="16"/>
    </w:rPr>
  </w:style>
  <w:style w:type="character" w:customStyle="1" w:styleId="z-KonecformuleChar">
    <w:name w:val="z-Konec formuláře Char"/>
    <w:basedOn w:val="Standardnpsmoodstavce"/>
    <w:link w:val="z-Konecformule"/>
    <w:uiPriority w:val="99"/>
    <w:rsid w:val="00B85C5E"/>
    <w:rPr>
      <w:rFonts w:ascii="Arial" w:hAnsi="Arial" w:cs="Arial"/>
      <w:vanish/>
      <w:sz w:val="16"/>
      <w:szCs w:val="16"/>
    </w:rPr>
  </w:style>
  <w:style w:type="character" w:styleId="Zstupntext">
    <w:name w:val="Placeholder Text"/>
    <w:basedOn w:val="Standardnpsmoodstavce"/>
    <w:uiPriority w:val="99"/>
    <w:semiHidden/>
    <w:rsid w:val="00B85C5E"/>
    <w:rPr>
      <w:color w:val="808080"/>
    </w:rPr>
  </w:style>
  <w:style w:type="character" w:styleId="Odkaznakoment">
    <w:name w:val="annotation reference"/>
    <w:basedOn w:val="Standardnpsmoodstavce"/>
    <w:uiPriority w:val="99"/>
    <w:semiHidden/>
    <w:unhideWhenUsed/>
    <w:rsid w:val="00B85C5E"/>
    <w:rPr>
      <w:sz w:val="16"/>
      <w:szCs w:val="16"/>
    </w:rPr>
  </w:style>
  <w:style w:type="paragraph" w:styleId="Textkomente">
    <w:name w:val="annotation text"/>
    <w:basedOn w:val="Normln"/>
    <w:link w:val="TextkomenteChar"/>
    <w:uiPriority w:val="99"/>
    <w:semiHidden/>
    <w:unhideWhenUsed/>
    <w:rsid w:val="00B85C5E"/>
    <w:pPr>
      <w:spacing w:line="240" w:lineRule="auto"/>
    </w:pPr>
    <w:rPr>
      <w:sz w:val="20"/>
      <w:szCs w:val="20"/>
    </w:rPr>
  </w:style>
  <w:style w:type="character" w:customStyle="1" w:styleId="TextkomenteChar">
    <w:name w:val="Text komentáře Char"/>
    <w:basedOn w:val="Standardnpsmoodstavce"/>
    <w:link w:val="Textkomente"/>
    <w:uiPriority w:val="99"/>
    <w:semiHidden/>
    <w:rsid w:val="00B85C5E"/>
    <w:rPr>
      <w:rFonts w:asciiTheme="minorHAnsi" w:eastAsiaTheme="minorEastAsia" w:hAnsiTheme="minorHAnsi" w:cstheme="minorBidi"/>
    </w:rPr>
  </w:style>
  <w:style w:type="paragraph" w:styleId="Pedmtkomente">
    <w:name w:val="annotation subject"/>
    <w:basedOn w:val="Textkomente"/>
    <w:next w:val="Textkomente"/>
    <w:link w:val="PedmtkomenteChar"/>
    <w:uiPriority w:val="99"/>
    <w:semiHidden/>
    <w:unhideWhenUsed/>
    <w:rsid w:val="00B85C5E"/>
    <w:rPr>
      <w:b/>
      <w:bCs/>
    </w:rPr>
  </w:style>
  <w:style w:type="character" w:customStyle="1" w:styleId="PedmtkomenteChar">
    <w:name w:val="Předmět komentáře Char"/>
    <w:basedOn w:val="TextkomenteChar"/>
    <w:link w:val="Pedmtkomente"/>
    <w:uiPriority w:val="99"/>
    <w:semiHidden/>
    <w:rsid w:val="00B85C5E"/>
    <w:rPr>
      <w:rFonts w:asciiTheme="minorHAnsi" w:eastAsiaTheme="minorEastAsia" w:hAnsiTheme="minorHAnsi" w:cstheme="minorBidi"/>
      <w:b/>
      <w:bCs/>
    </w:rPr>
  </w:style>
  <w:style w:type="paragraph" w:styleId="FormtovanvHTML">
    <w:name w:val="HTML Preformatted"/>
    <w:basedOn w:val="Normln"/>
    <w:link w:val="FormtovanvHTMLChar"/>
    <w:uiPriority w:val="99"/>
    <w:semiHidden/>
    <w:unhideWhenUsed/>
    <w:rsid w:val="00B8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uiPriority w:val="99"/>
    <w:semiHidden/>
    <w:rsid w:val="00B85C5E"/>
    <w:rPr>
      <w:rFonts w:ascii="Courier New" w:hAnsi="Courier New" w:cs="Courier New"/>
    </w:rPr>
  </w:style>
  <w:style w:type="paragraph" w:styleId="Odstavecseseznamem">
    <w:name w:val="List Paragraph"/>
    <w:basedOn w:val="Normln"/>
    <w:uiPriority w:val="34"/>
    <w:qFormat/>
    <w:rsid w:val="00B85C5E"/>
    <w:pPr>
      <w:ind w:left="720"/>
      <w:contextualSpacing/>
    </w:pPr>
  </w:style>
  <w:style w:type="paragraph" w:customStyle="1" w:styleId="Standard">
    <w:name w:val="Standard"/>
    <w:rsid w:val="00E13F63"/>
    <w:pPr>
      <w:suppressAutoHyphens/>
      <w:autoSpaceDN w:val="0"/>
      <w:spacing w:after="200" w:line="276" w:lineRule="auto"/>
      <w:textAlignment w:val="baseline"/>
    </w:pPr>
    <w:rPr>
      <w:rFonts w:ascii="Calibri" w:hAnsi="Calibri"/>
      <w:kern w:val="3"/>
      <w:sz w:val="24"/>
      <w:szCs w:val="24"/>
    </w:rPr>
  </w:style>
  <w:style w:type="paragraph" w:styleId="Nadpisobsahu">
    <w:name w:val="TOC Heading"/>
    <w:basedOn w:val="Nadpis1"/>
    <w:next w:val="Normln"/>
    <w:uiPriority w:val="39"/>
    <w:unhideWhenUsed/>
    <w:qFormat/>
    <w:rsid w:val="00B10403"/>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Obsah3">
    <w:name w:val="toc 3"/>
    <w:basedOn w:val="Normln"/>
    <w:next w:val="Normln"/>
    <w:autoRedefine/>
    <w:uiPriority w:val="39"/>
    <w:unhideWhenUsed/>
    <w:rsid w:val="00B10403"/>
    <w:pPr>
      <w:spacing w:after="100"/>
      <w:ind w:left="440"/>
    </w:pPr>
  </w:style>
  <w:style w:type="paragraph" w:styleId="Obsah1">
    <w:name w:val="toc 1"/>
    <w:basedOn w:val="Normln"/>
    <w:next w:val="Normln"/>
    <w:autoRedefine/>
    <w:uiPriority w:val="39"/>
    <w:unhideWhenUsed/>
    <w:rsid w:val="00B10403"/>
    <w:pPr>
      <w:spacing w:after="100"/>
    </w:pPr>
  </w:style>
  <w:style w:type="character" w:styleId="Hypertextovodkaz">
    <w:name w:val="Hyperlink"/>
    <w:basedOn w:val="Standardnpsmoodstavce"/>
    <w:uiPriority w:val="99"/>
    <w:unhideWhenUsed/>
    <w:rsid w:val="00B10403"/>
    <w:rPr>
      <w:color w:val="0000FF" w:themeColor="hyperlink"/>
      <w:u w:val="single"/>
    </w:rPr>
  </w:style>
  <w:style w:type="paragraph" w:styleId="Nzev">
    <w:name w:val="Title"/>
    <w:basedOn w:val="Normln"/>
    <w:next w:val="Normln"/>
    <w:link w:val="NzevChar"/>
    <w:uiPriority w:val="10"/>
    <w:qFormat/>
    <w:rsid w:val="00B933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9331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chart" Target="charts/chart7.xml"/><Relationship Id="rId47" Type="http://schemas.openxmlformats.org/officeDocument/2006/relationships/chart" Target="charts/chart12.xml"/><Relationship Id="rId50" Type="http://schemas.openxmlformats.org/officeDocument/2006/relationships/chart" Target="charts/chart15.xml"/><Relationship Id="rId55" Type="http://schemas.openxmlformats.org/officeDocument/2006/relationships/chart" Target="charts/chart20.xml"/><Relationship Id="rId63" Type="http://schemas.openxmlformats.org/officeDocument/2006/relationships/image" Target="media/image16.png"/><Relationship Id="rId68" Type="http://schemas.openxmlformats.org/officeDocument/2006/relationships/image" Target="media/image20.png"/><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chart" Target="charts/chart1.xml"/><Relationship Id="rId32" Type="http://schemas.openxmlformats.org/officeDocument/2006/relationships/chart" Target="charts/chart3.xml"/><Relationship Id="rId37" Type="http://schemas.openxmlformats.org/officeDocument/2006/relationships/oleObject" Target="embeddings/oleObject12.bin"/><Relationship Id="rId40" Type="http://schemas.openxmlformats.org/officeDocument/2006/relationships/chart" Target="charts/chart5.xml"/><Relationship Id="rId45" Type="http://schemas.openxmlformats.org/officeDocument/2006/relationships/chart" Target="charts/chart10.xml"/><Relationship Id="rId53" Type="http://schemas.openxmlformats.org/officeDocument/2006/relationships/chart" Target="charts/chart18.xml"/><Relationship Id="rId58" Type="http://schemas.openxmlformats.org/officeDocument/2006/relationships/chart" Target="charts/chart23.xml"/><Relationship Id="rId66" Type="http://schemas.openxmlformats.org/officeDocument/2006/relationships/image" Target="media/image19.png"/><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chart" Target="charts/chart14.xml"/><Relationship Id="rId57" Type="http://schemas.openxmlformats.org/officeDocument/2006/relationships/chart" Target="charts/chart22.xml"/><Relationship Id="rId61" Type="http://schemas.openxmlformats.org/officeDocument/2006/relationships/chart" Target="charts/chart26.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png"/><Relationship Id="rId44" Type="http://schemas.openxmlformats.org/officeDocument/2006/relationships/chart" Target="charts/chart9.xml"/><Relationship Id="rId52" Type="http://schemas.openxmlformats.org/officeDocument/2006/relationships/chart" Target="charts/chart17.xml"/><Relationship Id="rId60" Type="http://schemas.openxmlformats.org/officeDocument/2006/relationships/chart" Target="charts/chart25.xml"/><Relationship Id="rId65" Type="http://schemas.openxmlformats.org/officeDocument/2006/relationships/image" Target="media/image18.png"/><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1.png"/><Relationship Id="rId35" Type="http://schemas.openxmlformats.org/officeDocument/2006/relationships/oleObject" Target="embeddings/oleObject11.bin"/><Relationship Id="rId43" Type="http://schemas.openxmlformats.org/officeDocument/2006/relationships/chart" Target="charts/chart8.xml"/><Relationship Id="rId48" Type="http://schemas.openxmlformats.org/officeDocument/2006/relationships/chart" Target="charts/chart13.xml"/><Relationship Id="rId56" Type="http://schemas.openxmlformats.org/officeDocument/2006/relationships/chart" Target="charts/chart21.xml"/><Relationship Id="rId64" Type="http://schemas.openxmlformats.org/officeDocument/2006/relationships/image" Target="media/image17.png"/><Relationship Id="rId69"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chart" Target="charts/chart16.xml"/><Relationship Id="rId72"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chart" Target="charts/chart2.xml"/><Relationship Id="rId33" Type="http://schemas.openxmlformats.org/officeDocument/2006/relationships/chart" Target="charts/chart4.xml"/><Relationship Id="rId38" Type="http://schemas.openxmlformats.org/officeDocument/2006/relationships/image" Target="media/image15.wmf"/><Relationship Id="rId46" Type="http://schemas.openxmlformats.org/officeDocument/2006/relationships/chart" Target="charts/chart11.xml"/><Relationship Id="rId59" Type="http://schemas.openxmlformats.org/officeDocument/2006/relationships/chart" Target="charts/chart24.xml"/><Relationship Id="rId67" Type="http://schemas.openxmlformats.org/officeDocument/2006/relationships/hyperlink" Target="http://www.eua.be/News/14-10-10/EUA_2014_Public_Funding_Observatory_outlines_trends_in_public_funding_to_universities_in_Europe.aspx" TargetMode="External"/><Relationship Id="rId20" Type="http://schemas.openxmlformats.org/officeDocument/2006/relationships/image" Target="media/image7.wmf"/><Relationship Id="rId41" Type="http://schemas.openxmlformats.org/officeDocument/2006/relationships/chart" Target="charts/chart6.xml"/><Relationship Id="rId54" Type="http://schemas.openxmlformats.org/officeDocument/2006/relationships/chart" Target="charts/chart19.xml"/><Relationship Id="rId62" Type="http://schemas.openxmlformats.org/officeDocument/2006/relationships/chart" Target="charts/chart27.xm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s>
</file>

<file path=word/_rels/footer2.xml.rels><?xml version="1.0" encoding="UTF-8" standalone="yes"?>
<Relationships xmlns="http://schemas.openxmlformats.org/package/2006/relationships"><Relationship Id="rId2" Type="http://schemas.openxmlformats.org/officeDocument/2006/relationships/image" Target="media/image23.jpeg"/><Relationship Id="rId1" Type="http://schemas.openxmlformats.org/officeDocument/2006/relationships/image" Target="media/image22.jpeg"/></Relationships>
</file>

<file path=word/_rels/header2.xml.rels><?xml version="1.0" encoding="UTF-8" standalone="yes"?>
<Relationships xmlns="http://schemas.openxmlformats.org/package/2006/relationships"><Relationship Id="rId1" Type="http://schemas.openxmlformats.org/officeDocument/2006/relationships/image" Target="media/image2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vovaj\Documents\Documents\KREDO\&#352;ablony\2014\KREDO_&#353;ablona_zkr&#225;cen&#225;%20verze.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20%20%20%20%20%20%20!!!!!!!!!!!!_\_KREDO_\_____moje_\PREHLED.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20%20%20%20%20%20%20!!!!!!!!_\PROJ_Kredo_\_KREDO_\_____moje_\PREHLED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cat>
            <c:strRef>
              <c:f>Histogramy!$A$1:$M$1</c:f>
              <c:strCache>
                <c:ptCount val="13"/>
                <c:pt idx="0">
                  <c:v>umělecké obory</c:v>
                </c:pt>
                <c:pt idx="1">
                  <c:v>technické obory</c:v>
                </c:pt>
                <c:pt idx="2">
                  <c:v>přírodovědné obory (neživé M,F,Ch,...)</c:v>
                </c:pt>
                <c:pt idx="3">
                  <c:v>přírodovědné obory (živé B, Z, V, ...)</c:v>
                </c:pt>
                <c:pt idx="4">
                  <c:v>lékařské obory</c:v>
                </c:pt>
                <c:pt idx="5">
                  <c:v>ekonomické obory</c:v>
                </c:pt>
                <c:pt idx="6">
                  <c:v>právní obory</c:v>
                </c:pt>
                <c:pt idx="7">
                  <c:v>humanitní obory</c:v>
                </c:pt>
                <c:pt idx="8">
                  <c:v>pedagogické obory</c:v>
                </c:pt>
                <c:pt idx="9">
                  <c:v>kamenné VŠ</c:v>
                </c:pt>
                <c:pt idx="10">
                  <c:v>regionální školy</c:v>
                </c:pt>
                <c:pt idx="11">
                  <c:v>specializované školy</c:v>
                </c:pt>
                <c:pt idx="12">
                  <c:v>technické VŠ</c:v>
                </c:pt>
              </c:strCache>
            </c:strRef>
          </c:cat>
          <c:val>
            <c:numRef>
              <c:f>Histogramy!$A$2:$M$2</c:f>
              <c:numCache>
                <c:formatCode>General</c:formatCode>
                <c:ptCount val="13"/>
                <c:pt idx="0">
                  <c:v>11</c:v>
                </c:pt>
                <c:pt idx="1">
                  <c:v>10</c:v>
                </c:pt>
                <c:pt idx="2">
                  <c:v>9</c:v>
                </c:pt>
                <c:pt idx="3">
                  <c:v>4</c:v>
                </c:pt>
                <c:pt idx="4">
                  <c:v>1</c:v>
                </c:pt>
                <c:pt idx="5">
                  <c:v>15</c:v>
                </c:pt>
                <c:pt idx="6">
                  <c:v>3</c:v>
                </c:pt>
                <c:pt idx="7">
                  <c:v>6</c:v>
                </c:pt>
                <c:pt idx="8">
                  <c:v>2</c:v>
                </c:pt>
                <c:pt idx="9">
                  <c:v>1</c:v>
                </c:pt>
                <c:pt idx="10">
                  <c:v>9</c:v>
                </c:pt>
                <c:pt idx="11">
                  <c:v>31</c:v>
                </c:pt>
                <c:pt idx="12">
                  <c:v>5</c:v>
                </c:pt>
              </c:numCache>
            </c:numRef>
          </c:val>
        </c:ser>
        <c:dLbls>
          <c:showLegendKey val="0"/>
          <c:showVal val="0"/>
          <c:showCatName val="0"/>
          <c:showSerName val="0"/>
          <c:showPercent val="0"/>
          <c:showBubbleSize val="0"/>
        </c:dLbls>
        <c:gapWidth val="150"/>
        <c:axId val="198543368"/>
        <c:axId val="190183848"/>
      </c:barChart>
      <c:catAx>
        <c:axId val="198543368"/>
        <c:scaling>
          <c:orientation val="minMax"/>
        </c:scaling>
        <c:delete val="0"/>
        <c:axPos val="b"/>
        <c:numFmt formatCode="General" sourceLinked="0"/>
        <c:majorTickMark val="out"/>
        <c:minorTickMark val="none"/>
        <c:tickLblPos val="nextTo"/>
        <c:crossAx val="190183848"/>
        <c:crosses val="autoZero"/>
        <c:auto val="1"/>
        <c:lblAlgn val="ctr"/>
        <c:lblOffset val="100"/>
        <c:noMultiLvlLbl val="0"/>
      </c:catAx>
      <c:valAx>
        <c:axId val="190183848"/>
        <c:scaling>
          <c:orientation val="minMax"/>
        </c:scaling>
        <c:delete val="0"/>
        <c:axPos val="l"/>
        <c:majorGridlines/>
        <c:numFmt formatCode="General" sourceLinked="1"/>
        <c:majorTickMark val="out"/>
        <c:minorTickMark val="none"/>
        <c:tickLblPos val="nextTo"/>
        <c:crossAx val="198543368"/>
        <c:crosses val="autoZero"/>
        <c:crossBetween val="between"/>
      </c:valAx>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zpracování'!$Y$2:$Y$42</c:f>
              <c:numCache>
                <c:formatCode>General</c:formatCode>
                <c:ptCount val="41"/>
                <c:pt idx="0">
                  <c:v>0.89416058394160403</c:v>
                </c:pt>
                <c:pt idx="1">
                  <c:v>0.90000924129008464</c:v>
                </c:pt>
                <c:pt idx="2">
                  <c:v>0.96152613016992627</c:v>
                </c:pt>
                <c:pt idx="3">
                  <c:v>0.6998987388382587</c:v>
                </c:pt>
                <c:pt idx="4">
                  <c:v>0.75469152459217737</c:v>
                </c:pt>
                <c:pt idx="5">
                  <c:v>0.85513544835578903</c:v>
                </c:pt>
                <c:pt idx="6">
                  <c:v>1</c:v>
                </c:pt>
                <c:pt idx="7">
                  <c:v>0.8936170212765957</c:v>
                </c:pt>
                <c:pt idx="8">
                  <c:v>1</c:v>
                </c:pt>
                <c:pt idx="9">
                  <c:v>1</c:v>
                </c:pt>
                <c:pt idx="10">
                  <c:v>0.78600470789642629</c:v>
                </c:pt>
                <c:pt idx="11">
                  <c:v>1</c:v>
                </c:pt>
                <c:pt idx="12">
                  <c:v>0</c:v>
                </c:pt>
                <c:pt idx="13">
                  <c:v>1.1024643320363166</c:v>
                </c:pt>
                <c:pt idx="14">
                  <c:v>0.85093452585712648</c:v>
                </c:pt>
                <c:pt idx="15">
                  <c:v>0</c:v>
                </c:pt>
                <c:pt idx="16">
                  <c:v>1.0869565217391328</c:v>
                </c:pt>
                <c:pt idx="17">
                  <c:v>1</c:v>
                </c:pt>
                <c:pt idx="18">
                  <c:v>0</c:v>
                </c:pt>
                <c:pt idx="19">
                  <c:v>2.6363636363636327</c:v>
                </c:pt>
                <c:pt idx="20">
                  <c:v>0.89957567185289955</c:v>
                </c:pt>
                <c:pt idx="21">
                  <c:v>1.5</c:v>
                </c:pt>
                <c:pt idx="22">
                  <c:v>1.3846153846153861</c:v>
                </c:pt>
                <c:pt idx="23">
                  <c:v>6</c:v>
                </c:pt>
                <c:pt idx="24">
                  <c:v>1.1499999999999972</c:v>
                </c:pt>
                <c:pt idx="25">
                  <c:v>1</c:v>
                </c:pt>
                <c:pt idx="26">
                  <c:v>1.2121212121212097</c:v>
                </c:pt>
                <c:pt idx="27">
                  <c:v>5</c:v>
                </c:pt>
                <c:pt idx="28">
                  <c:v>2.4618937644341803</c:v>
                </c:pt>
                <c:pt idx="29">
                  <c:v>0.91176470588235115</c:v>
                </c:pt>
                <c:pt idx="30">
                  <c:v>2.2857142857142856</c:v>
                </c:pt>
                <c:pt idx="31">
                  <c:v>1.491596638655458</c:v>
                </c:pt>
                <c:pt idx="32">
                  <c:v>0</c:v>
                </c:pt>
                <c:pt idx="33">
                  <c:v>1.0473684210526315</c:v>
                </c:pt>
                <c:pt idx="34">
                  <c:v>1.25</c:v>
                </c:pt>
                <c:pt idx="35">
                  <c:v>0</c:v>
                </c:pt>
                <c:pt idx="36">
                  <c:v>1</c:v>
                </c:pt>
                <c:pt idx="37">
                  <c:v>2.1718749999999987</c:v>
                </c:pt>
                <c:pt idx="38">
                  <c:v>1.5</c:v>
                </c:pt>
                <c:pt idx="39">
                  <c:v>1.1702127659574493</c:v>
                </c:pt>
                <c:pt idx="40">
                  <c:v>1.0058139534883719</c:v>
                </c:pt>
              </c:numCache>
            </c:numRef>
          </c:xVal>
          <c:yVal>
            <c:numRef>
              <c:f>'Úroveň zpracování'!$Z$2:$Z$42</c:f>
              <c:numCache>
                <c:formatCode>General</c:formatCode>
                <c:ptCount val="41"/>
                <c:pt idx="0">
                  <c:v>0.82116788321167888</c:v>
                </c:pt>
                <c:pt idx="1">
                  <c:v>1.0349782829683019</c:v>
                </c:pt>
                <c:pt idx="2">
                  <c:v>0.89740301378647003</c:v>
                </c:pt>
                <c:pt idx="3">
                  <c:v>0.77078155205744414</c:v>
                </c:pt>
                <c:pt idx="4">
                  <c:v>0.75469152459217737</c:v>
                </c:pt>
                <c:pt idx="5">
                  <c:v>0.92756772417789357</c:v>
                </c:pt>
                <c:pt idx="6">
                  <c:v>1</c:v>
                </c:pt>
                <c:pt idx="7">
                  <c:v>0.8936170212765957</c:v>
                </c:pt>
                <c:pt idx="8">
                  <c:v>1.2307692307692284</c:v>
                </c:pt>
                <c:pt idx="9">
                  <c:v>1</c:v>
                </c:pt>
                <c:pt idx="10">
                  <c:v>1.0534988230258935</c:v>
                </c:pt>
                <c:pt idx="11">
                  <c:v>1</c:v>
                </c:pt>
                <c:pt idx="12">
                  <c:v>0</c:v>
                </c:pt>
                <c:pt idx="13">
                  <c:v>1.3346303501945518</c:v>
                </c:pt>
                <c:pt idx="14">
                  <c:v>0.70186905171425296</c:v>
                </c:pt>
                <c:pt idx="15">
                  <c:v>0</c:v>
                </c:pt>
                <c:pt idx="16">
                  <c:v>1.0869565217391328</c:v>
                </c:pt>
                <c:pt idx="17">
                  <c:v>1.0335917312661498</c:v>
                </c:pt>
                <c:pt idx="18">
                  <c:v>0</c:v>
                </c:pt>
                <c:pt idx="19">
                  <c:v>2.6363636363636327</c:v>
                </c:pt>
                <c:pt idx="20">
                  <c:v>0.89957567185289955</c:v>
                </c:pt>
                <c:pt idx="21">
                  <c:v>2</c:v>
                </c:pt>
                <c:pt idx="22">
                  <c:v>1.7692307692307701</c:v>
                </c:pt>
                <c:pt idx="23">
                  <c:v>12.75</c:v>
                </c:pt>
                <c:pt idx="24">
                  <c:v>1.5</c:v>
                </c:pt>
                <c:pt idx="25">
                  <c:v>1</c:v>
                </c:pt>
                <c:pt idx="26">
                  <c:v>1.5151515151515151</c:v>
                </c:pt>
                <c:pt idx="27">
                  <c:v>10</c:v>
                </c:pt>
                <c:pt idx="28">
                  <c:v>4.6558891454965359</c:v>
                </c:pt>
                <c:pt idx="29">
                  <c:v>1.205882352941174</c:v>
                </c:pt>
                <c:pt idx="30">
                  <c:v>3.8571428571428572</c:v>
                </c:pt>
                <c:pt idx="31">
                  <c:v>2.121848739495793</c:v>
                </c:pt>
                <c:pt idx="32">
                  <c:v>0</c:v>
                </c:pt>
                <c:pt idx="33">
                  <c:v>1.5210526315789481</c:v>
                </c:pt>
                <c:pt idx="34">
                  <c:v>1.75</c:v>
                </c:pt>
                <c:pt idx="35">
                  <c:v>0</c:v>
                </c:pt>
                <c:pt idx="36">
                  <c:v>1</c:v>
                </c:pt>
                <c:pt idx="37">
                  <c:v>2.5625</c:v>
                </c:pt>
                <c:pt idx="38">
                  <c:v>2</c:v>
                </c:pt>
                <c:pt idx="39">
                  <c:v>1.1702127659574493</c:v>
                </c:pt>
                <c:pt idx="40">
                  <c:v>1.1046511627906981</c:v>
                </c:pt>
              </c:numCache>
            </c:numRef>
          </c:yVal>
          <c:smooth val="0"/>
        </c:ser>
        <c:dLbls>
          <c:showLegendKey val="0"/>
          <c:showVal val="0"/>
          <c:showCatName val="0"/>
          <c:showSerName val="0"/>
          <c:showPercent val="0"/>
          <c:showBubbleSize val="0"/>
        </c:dLbls>
        <c:axId val="344485600"/>
        <c:axId val="344485992"/>
      </c:scatterChart>
      <c:valAx>
        <c:axId val="344485600"/>
        <c:scaling>
          <c:orientation val="minMax"/>
        </c:scaling>
        <c:delete val="0"/>
        <c:axPos val="b"/>
        <c:numFmt formatCode="General" sourceLinked="1"/>
        <c:majorTickMark val="out"/>
        <c:minorTickMark val="none"/>
        <c:tickLblPos val="nextTo"/>
        <c:crossAx val="344485992"/>
        <c:crosses val="autoZero"/>
        <c:crossBetween val="midCat"/>
      </c:valAx>
      <c:valAx>
        <c:axId val="344485992"/>
        <c:scaling>
          <c:orientation val="minMax"/>
        </c:scaling>
        <c:delete val="0"/>
        <c:axPos val="l"/>
        <c:majorGridlines/>
        <c:numFmt formatCode="General" sourceLinked="1"/>
        <c:majorTickMark val="out"/>
        <c:minorTickMark val="none"/>
        <c:tickLblPos val="nextTo"/>
        <c:crossAx val="344485600"/>
        <c:crosses val="autoZero"/>
        <c:crossBetween val="midCat"/>
      </c:valAx>
    </c:plotArea>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zpracování'!$S$2:$S$6</c:f>
              <c:numCache>
                <c:formatCode>General</c:formatCode>
                <c:ptCount val="5"/>
                <c:pt idx="0">
                  <c:v>0.81738995462140374</c:v>
                </c:pt>
                <c:pt idx="1">
                  <c:v>1.0033333333333334</c:v>
                </c:pt>
                <c:pt idx="2">
                  <c:v>1.0398936170212731</c:v>
                </c:pt>
                <c:pt idx="3">
                  <c:v>1.3513949031168</c:v>
                </c:pt>
                <c:pt idx="4">
                  <c:v>1</c:v>
                </c:pt>
              </c:numCache>
            </c:numRef>
          </c:xVal>
          <c:yVal>
            <c:numRef>
              <c:f>'Úroveň zpracování'!$T$2:$T$6</c:f>
              <c:numCache>
                <c:formatCode>General</c:formatCode>
                <c:ptCount val="5"/>
                <c:pt idx="0">
                  <c:v>1.02739150680679</c:v>
                </c:pt>
                <c:pt idx="1">
                  <c:v>1.0733333333333335</c:v>
                </c:pt>
                <c:pt idx="2">
                  <c:v>1.1196808510638301</c:v>
                </c:pt>
                <c:pt idx="3">
                  <c:v>1.8506489960664809</c:v>
                </c:pt>
                <c:pt idx="4">
                  <c:v>1</c:v>
                </c:pt>
              </c:numCache>
            </c:numRef>
          </c:yVal>
          <c:smooth val="0"/>
        </c:ser>
        <c:dLbls>
          <c:showLegendKey val="0"/>
          <c:showVal val="0"/>
          <c:showCatName val="0"/>
          <c:showSerName val="0"/>
          <c:showPercent val="0"/>
          <c:showBubbleSize val="0"/>
        </c:dLbls>
        <c:axId val="344486776"/>
        <c:axId val="344487168"/>
      </c:scatterChart>
      <c:valAx>
        <c:axId val="344486776"/>
        <c:scaling>
          <c:orientation val="minMax"/>
        </c:scaling>
        <c:delete val="0"/>
        <c:axPos val="b"/>
        <c:numFmt formatCode="General" sourceLinked="1"/>
        <c:majorTickMark val="out"/>
        <c:minorTickMark val="none"/>
        <c:tickLblPos val="nextTo"/>
        <c:crossAx val="344487168"/>
        <c:crosses val="autoZero"/>
        <c:crossBetween val="midCat"/>
      </c:valAx>
      <c:valAx>
        <c:axId val="344487168"/>
        <c:scaling>
          <c:orientation val="minMax"/>
        </c:scaling>
        <c:delete val="0"/>
        <c:axPos val="l"/>
        <c:majorGridlines/>
        <c:numFmt formatCode="General" sourceLinked="1"/>
        <c:majorTickMark val="out"/>
        <c:minorTickMark val="none"/>
        <c:tickLblPos val="nextTo"/>
        <c:crossAx val="344486776"/>
        <c:crosses val="autoZero"/>
        <c:crossBetween val="midCat"/>
      </c:valAx>
    </c:plotArea>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zpracování'!$S$2:$S$20</c:f>
              <c:numCache>
                <c:formatCode>General</c:formatCode>
                <c:ptCount val="19"/>
                <c:pt idx="0">
                  <c:v>0.81738995462140374</c:v>
                </c:pt>
                <c:pt idx="1">
                  <c:v>1.0033333333333334</c:v>
                </c:pt>
                <c:pt idx="2">
                  <c:v>1.0398936170212731</c:v>
                </c:pt>
                <c:pt idx="3">
                  <c:v>1.3513949031168</c:v>
                </c:pt>
                <c:pt idx="4">
                  <c:v>1</c:v>
                </c:pt>
                <c:pt idx="5">
                  <c:v>1.111661935483871</c:v>
                </c:pt>
                <c:pt idx="6">
                  <c:v>1.3849462365591398</c:v>
                </c:pt>
                <c:pt idx="7">
                  <c:v>1.1428571428571441</c:v>
                </c:pt>
                <c:pt idx="8">
                  <c:v>1.1176470588235301</c:v>
                </c:pt>
                <c:pt idx="9">
                  <c:v>1</c:v>
                </c:pt>
                <c:pt idx="10">
                  <c:v>1</c:v>
                </c:pt>
                <c:pt idx="11">
                  <c:v>1.0666666666666667</c:v>
                </c:pt>
                <c:pt idx="12">
                  <c:v>1.1000000000000001</c:v>
                </c:pt>
                <c:pt idx="13">
                  <c:v>1.0843537414966018</c:v>
                </c:pt>
                <c:pt idx="14">
                  <c:v>0.84732824427481046</c:v>
                </c:pt>
                <c:pt idx="15">
                  <c:v>0</c:v>
                </c:pt>
                <c:pt idx="16">
                  <c:v>1.4</c:v>
                </c:pt>
                <c:pt idx="17">
                  <c:v>1.2461088414216801</c:v>
                </c:pt>
                <c:pt idx="18">
                  <c:v>0</c:v>
                </c:pt>
              </c:numCache>
            </c:numRef>
          </c:xVal>
          <c:yVal>
            <c:numRef>
              <c:f>'Úroveň zpracování'!$T$2:$T$20</c:f>
              <c:numCache>
                <c:formatCode>General</c:formatCode>
                <c:ptCount val="19"/>
                <c:pt idx="0">
                  <c:v>1.02739150680679</c:v>
                </c:pt>
                <c:pt idx="1">
                  <c:v>1.0733333333333335</c:v>
                </c:pt>
                <c:pt idx="2">
                  <c:v>1.1196808510638301</c:v>
                </c:pt>
                <c:pt idx="3">
                  <c:v>1.8506489960664809</c:v>
                </c:pt>
                <c:pt idx="4">
                  <c:v>1</c:v>
                </c:pt>
                <c:pt idx="5">
                  <c:v>1.2783286021505376</c:v>
                </c:pt>
                <c:pt idx="6">
                  <c:v>1.4930107526881695</c:v>
                </c:pt>
                <c:pt idx="7">
                  <c:v>1.1428571428571441</c:v>
                </c:pt>
                <c:pt idx="8">
                  <c:v>1.1176470588235301</c:v>
                </c:pt>
                <c:pt idx="9">
                  <c:v>1</c:v>
                </c:pt>
                <c:pt idx="10">
                  <c:v>1.1319151823067821</c:v>
                </c:pt>
                <c:pt idx="11">
                  <c:v>1.1333333333333333</c:v>
                </c:pt>
                <c:pt idx="12">
                  <c:v>1.1000000000000001</c:v>
                </c:pt>
                <c:pt idx="13">
                  <c:v>1.1972789115646261</c:v>
                </c:pt>
                <c:pt idx="14">
                  <c:v>0.6946564885496187</c:v>
                </c:pt>
                <c:pt idx="15">
                  <c:v>0</c:v>
                </c:pt>
                <c:pt idx="16">
                  <c:v>1.4</c:v>
                </c:pt>
                <c:pt idx="17">
                  <c:v>1.5786860880734468</c:v>
                </c:pt>
                <c:pt idx="18">
                  <c:v>0</c:v>
                </c:pt>
              </c:numCache>
            </c:numRef>
          </c:yVal>
          <c:smooth val="0"/>
        </c:ser>
        <c:dLbls>
          <c:showLegendKey val="0"/>
          <c:showVal val="0"/>
          <c:showCatName val="0"/>
          <c:showSerName val="0"/>
          <c:showPercent val="0"/>
          <c:showBubbleSize val="0"/>
        </c:dLbls>
        <c:axId val="198221064"/>
        <c:axId val="198221456"/>
      </c:scatterChart>
      <c:valAx>
        <c:axId val="198221064"/>
        <c:scaling>
          <c:orientation val="minMax"/>
        </c:scaling>
        <c:delete val="0"/>
        <c:axPos val="b"/>
        <c:numFmt formatCode="General" sourceLinked="1"/>
        <c:majorTickMark val="out"/>
        <c:minorTickMark val="none"/>
        <c:tickLblPos val="nextTo"/>
        <c:crossAx val="198221456"/>
        <c:crosses val="autoZero"/>
        <c:crossBetween val="midCat"/>
      </c:valAx>
      <c:valAx>
        <c:axId val="198221456"/>
        <c:scaling>
          <c:orientation val="minMax"/>
        </c:scaling>
        <c:delete val="0"/>
        <c:axPos val="l"/>
        <c:majorGridlines/>
        <c:numFmt formatCode="General" sourceLinked="1"/>
        <c:majorTickMark val="out"/>
        <c:minorTickMark val="none"/>
        <c:tickLblPos val="nextTo"/>
        <c:crossAx val="198221064"/>
        <c:crosses val="autoZero"/>
        <c:crossBetween val="midCat"/>
      </c:valAx>
    </c:plotArea>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zpracování'!$S$2:$S$42</c:f>
              <c:numCache>
                <c:formatCode>General</c:formatCode>
                <c:ptCount val="41"/>
                <c:pt idx="0">
                  <c:v>0.81738995462140374</c:v>
                </c:pt>
                <c:pt idx="1">
                  <c:v>1.0033333333333334</c:v>
                </c:pt>
                <c:pt idx="2">
                  <c:v>1.0398936170212731</c:v>
                </c:pt>
                <c:pt idx="3">
                  <c:v>1.3513949031168</c:v>
                </c:pt>
                <c:pt idx="4">
                  <c:v>1</c:v>
                </c:pt>
                <c:pt idx="5">
                  <c:v>1.111661935483871</c:v>
                </c:pt>
                <c:pt idx="6">
                  <c:v>1.3849462365591398</c:v>
                </c:pt>
                <c:pt idx="7">
                  <c:v>1.1428571428571441</c:v>
                </c:pt>
                <c:pt idx="8">
                  <c:v>1.1176470588235301</c:v>
                </c:pt>
                <c:pt idx="9">
                  <c:v>1</c:v>
                </c:pt>
                <c:pt idx="10">
                  <c:v>1</c:v>
                </c:pt>
                <c:pt idx="11">
                  <c:v>1.0666666666666667</c:v>
                </c:pt>
                <c:pt idx="12">
                  <c:v>1.1000000000000001</c:v>
                </c:pt>
                <c:pt idx="13">
                  <c:v>1.0843537414966018</c:v>
                </c:pt>
                <c:pt idx="14">
                  <c:v>0.84732824427481046</c:v>
                </c:pt>
                <c:pt idx="15">
                  <c:v>0</c:v>
                </c:pt>
                <c:pt idx="16">
                  <c:v>1.4</c:v>
                </c:pt>
                <c:pt idx="17">
                  <c:v>1.2461088414216801</c:v>
                </c:pt>
                <c:pt idx="18">
                  <c:v>0</c:v>
                </c:pt>
                <c:pt idx="19">
                  <c:v>3.0833333333333384</c:v>
                </c:pt>
                <c:pt idx="20">
                  <c:v>1.1542521511820629</c:v>
                </c:pt>
                <c:pt idx="21">
                  <c:v>1.5</c:v>
                </c:pt>
                <c:pt idx="22">
                  <c:v>2.125</c:v>
                </c:pt>
                <c:pt idx="23">
                  <c:v>8.3387096774193541</c:v>
                </c:pt>
                <c:pt idx="24">
                  <c:v>1.1500213174163292</c:v>
                </c:pt>
                <c:pt idx="25">
                  <c:v>1.223776223776224</c:v>
                </c:pt>
                <c:pt idx="26">
                  <c:v>0</c:v>
                </c:pt>
                <c:pt idx="27">
                  <c:v>1.5</c:v>
                </c:pt>
                <c:pt idx="28">
                  <c:v>2.9090909090909087</c:v>
                </c:pt>
                <c:pt idx="29">
                  <c:v>0.92</c:v>
                </c:pt>
                <c:pt idx="30">
                  <c:v>2.2857142857142856</c:v>
                </c:pt>
                <c:pt idx="31">
                  <c:v>1</c:v>
                </c:pt>
                <c:pt idx="32">
                  <c:v>0</c:v>
                </c:pt>
                <c:pt idx="33">
                  <c:v>1.2365094339622642</c:v>
                </c:pt>
                <c:pt idx="34">
                  <c:v>1.2717391304347818</c:v>
                </c:pt>
                <c:pt idx="35">
                  <c:v>1.5</c:v>
                </c:pt>
                <c:pt idx="36">
                  <c:v>1</c:v>
                </c:pt>
                <c:pt idx="37">
                  <c:v>1.4534835783976914</c:v>
                </c:pt>
                <c:pt idx="38">
                  <c:v>0</c:v>
                </c:pt>
                <c:pt idx="39">
                  <c:v>2.6111111111111112</c:v>
                </c:pt>
                <c:pt idx="40">
                  <c:v>1.264472067082562</c:v>
                </c:pt>
              </c:numCache>
            </c:numRef>
          </c:xVal>
          <c:yVal>
            <c:numRef>
              <c:f>'Úroveň zpracování'!$T$2:$T$42</c:f>
              <c:numCache>
                <c:formatCode>General</c:formatCode>
                <c:ptCount val="41"/>
                <c:pt idx="0">
                  <c:v>1.02739150680679</c:v>
                </c:pt>
                <c:pt idx="1">
                  <c:v>1.0733333333333335</c:v>
                </c:pt>
                <c:pt idx="2">
                  <c:v>1.1196808510638301</c:v>
                </c:pt>
                <c:pt idx="3">
                  <c:v>1.8506489960664809</c:v>
                </c:pt>
                <c:pt idx="4">
                  <c:v>1</c:v>
                </c:pt>
                <c:pt idx="5">
                  <c:v>1.2783286021505376</c:v>
                </c:pt>
                <c:pt idx="6">
                  <c:v>1.4930107526881695</c:v>
                </c:pt>
                <c:pt idx="7">
                  <c:v>1.1428571428571441</c:v>
                </c:pt>
                <c:pt idx="8">
                  <c:v>1.1176470588235301</c:v>
                </c:pt>
                <c:pt idx="9">
                  <c:v>1</c:v>
                </c:pt>
                <c:pt idx="10">
                  <c:v>1.1319151823067821</c:v>
                </c:pt>
                <c:pt idx="11">
                  <c:v>1.1333333333333333</c:v>
                </c:pt>
                <c:pt idx="12">
                  <c:v>1.1000000000000001</c:v>
                </c:pt>
                <c:pt idx="13">
                  <c:v>1.1972789115646261</c:v>
                </c:pt>
                <c:pt idx="14">
                  <c:v>0.6946564885496187</c:v>
                </c:pt>
                <c:pt idx="15">
                  <c:v>0</c:v>
                </c:pt>
                <c:pt idx="16">
                  <c:v>1.4</c:v>
                </c:pt>
                <c:pt idx="17">
                  <c:v>1.5786860880734468</c:v>
                </c:pt>
                <c:pt idx="18">
                  <c:v>0</c:v>
                </c:pt>
                <c:pt idx="19">
                  <c:v>3.0833333333333384</c:v>
                </c:pt>
                <c:pt idx="20">
                  <c:v>1.4627208541574892</c:v>
                </c:pt>
                <c:pt idx="21">
                  <c:v>2</c:v>
                </c:pt>
                <c:pt idx="22">
                  <c:v>2.9583333333333335</c:v>
                </c:pt>
                <c:pt idx="23">
                  <c:v>21.169354838709676</c:v>
                </c:pt>
                <c:pt idx="24">
                  <c:v>1.4950437007034738</c:v>
                </c:pt>
                <c:pt idx="25">
                  <c:v>1.223776223776224</c:v>
                </c:pt>
                <c:pt idx="26">
                  <c:v>0</c:v>
                </c:pt>
                <c:pt idx="27">
                  <c:v>2</c:v>
                </c:pt>
                <c:pt idx="28">
                  <c:v>5.7727272727272725</c:v>
                </c:pt>
                <c:pt idx="29">
                  <c:v>0.92</c:v>
                </c:pt>
                <c:pt idx="30">
                  <c:v>3.8571428571428572</c:v>
                </c:pt>
                <c:pt idx="31">
                  <c:v>1</c:v>
                </c:pt>
                <c:pt idx="32">
                  <c:v>0</c:v>
                </c:pt>
                <c:pt idx="33">
                  <c:v>1.411981132075468</c:v>
                </c:pt>
                <c:pt idx="34">
                  <c:v>1.7717391304347818</c:v>
                </c:pt>
                <c:pt idx="35">
                  <c:v>1.75</c:v>
                </c:pt>
                <c:pt idx="36">
                  <c:v>1</c:v>
                </c:pt>
                <c:pt idx="37">
                  <c:v>1.7283221107599278</c:v>
                </c:pt>
                <c:pt idx="38">
                  <c:v>0</c:v>
                </c:pt>
                <c:pt idx="39">
                  <c:v>2.6111111111111112</c:v>
                </c:pt>
                <c:pt idx="40">
                  <c:v>1.264472067082562</c:v>
                </c:pt>
              </c:numCache>
            </c:numRef>
          </c:yVal>
          <c:smooth val="0"/>
        </c:ser>
        <c:dLbls>
          <c:showLegendKey val="0"/>
          <c:showVal val="0"/>
          <c:showCatName val="0"/>
          <c:showSerName val="0"/>
          <c:showPercent val="0"/>
          <c:showBubbleSize val="0"/>
        </c:dLbls>
        <c:axId val="314024384"/>
        <c:axId val="314024776"/>
      </c:scatterChart>
      <c:valAx>
        <c:axId val="314024384"/>
        <c:scaling>
          <c:orientation val="minMax"/>
        </c:scaling>
        <c:delete val="0"/>
        <c:axPos val="b"/>
        <c:numFmt formatCode="General" sourceLinked="1"/>
        <c:majorTickMark val="out"/>
        <c:minorTickMark val="none"/>
        <c:tickLblPos val="nextTo"/>
        <c:crossAx val="314024776"/>
        <c:crosses val="autoZero"/>
        <c:crossBetween val="midCat"/>
      </c:valAx>
      <c:valAx>
        <c:axId val="314024776"/>
        <c:scaling>
          <c:orientation val="minMax"/>
        </c:scaling>
        <c:delete val="0"/>
        <c:axPos val="l"/>
        <c:majorGridlines/>
        <c:numFmt formatCode="General" sourceLinked="1"/>
        <c:majorTickMark val="out"/>
        <c:minorTickMark val="none"/>
        <c:tickLblPos val="nextTo"/>
        <c:crossAx val="314024384"/>
        <c:crosses val="autoZero"/>
        <c:crossBetween val="midCat"/>
      </c:valAx>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zpracování'!$M$2:$M$42</c:f>
              <c:numCache>
                <c:formatCode>General</c:formatCode>
                <c:ptCount val="41"/>
                <c:pt idx="0">
                  <c:v>0.94747899159663851</c:v>
                </c:pt>
                <c:pt idx="1">
                  <c:v>0.9555555555555556</c:v>
                </c:pt>
                <c:pt idx="2">
                  <c:v>1</c:v>
                </c:pt>
                <c:pt idx="3">
                  <c:v>1.2</c:v>
                </c:pt>
                <c:pt idx="4">
                  <c:v>0.755868544600939</c:v>
                </c:pt>
                <c:pt idx="5">
                  <c:v>0.95432300163132133</c:v>
                </c:pt>
                <c:pt idx="6">
                  <c:v>1</c:v>
                </c:pt>
                <c:pt idx="7">
                  <c:v>1</c:v>
                </c:pt>
                <c:pt idx="8">
                  <c:v>1.047619047619045</c:v>
                </c:pt>
                <c:pt idx="9">
                  <c:v>1.0243902439024366</c:v>
                </c:pt>
                <c:pt idx="10">
                  <c:v>1</c:v>
                </c:pt>
                <c:pt idx="11">
                  <c:v>1.0315789473684212</c:v>
                </c:pt>
                <c:pt idx="12">
                  <c:v>1.1000000000000001</c:v>
                </c:pt>
                <c:pt idx="13">
                  <c:v>1.0328083989501298</c:v>
                </c:pt>
                <c:pt idx="14">
                  <c:v>0.85342019543973968</c:v>
                </c:pt>
                <c:pt idx="15">
                  <c:v>0</c:v>
                </c:pt>
                <c:pt idx="16">
                  <c:v>1.0714285714285721</c:v>
                </c:pt>
                <c:pt idx="17">
                  <c:v>1.2727272727272718</c:v>
                </c:pt>
                <c:pt idx="18">
                  <c:v>0</c:v>
                </c:pt>
                <c:pt idx="19">
                  <c:v>2.6666666666666665</c:v>
                </c:pt>
                <c:pt idx="20">
                  <c:v>1</c:v>
                </c:pt>
                <c:pt idx="21">
                  <c:v>1.5</c:v>
                </c:pt>
                <c:pt idx="22">
                  <c:v>1.3333333333333333</c:v>
                </c:pt>
                <c:pt idx="23">
                  <c:v>2.4</c:v>
                </c:pt>
                <c:pt idx="24">
                  <c:v>1.1008064516129032</c:v>
                </c:pt>
                <c:pt idx="25">
                  <c:v>1.1568627450980393</c:v>
                </c:pt>
                <c:pt idx="26">
                  <c:v>1.0657894736842106</c:v>
                </c:pt>
                <c:pt idx="27">
                  <c:v>1.5609756097560981</c:v>
                </c:pt>
                <c:pt idx="28">
                  <c:v>2.3030303030303032</c:v>
                </c:pt>
                <c:pt idx="29">
                  <c:v>0.95000000000000062</c:v>
                </c:pt>
                <c:pt idx="30">
                  <c:v>2.2285714285714371</c:v>
                </c:pt>
                <c:pt idx="31">
                  <c:v>1</c:v>
                </c:pt>
                <c:pt idx="32">
                  <c:v>0</c:v>
                </c:pt>
                <c:pt idx="33">
                  <c:v>0.75342465753424814</c:v>
                </c:pt>
                <c:pt idx="34">
                  <c:v>1.1333333333333333</c:v>
                </c:pt>
                <c:pt idx="35">
                  <c:v>1.3333333333333333</c:v>
                </c:pt>
                <c:pt idx="36">
                  <c:v>1</c:v>
                </c:pt>
                <c:pt idx="37">
                  <c:v>1.40625</c:v>
                </c:pt>
                <c:pt idx="38">
                  <c:v>1.3333333333333333</c:v>
                </c:pt>
                <c:pt idx="39">
                  <c:v>2.6133333333333342</c:v>
                </c:pt>
                <c:pt idx="40">
                  <c:v>1</c:v>
                </c:pt>
              </c:numCache>
            </c:numRef>
          </c:xVal>
          <c:yVal>
            <c:numRef>
              <c:f>'Úroveň zpracování'!$S$2:$S$42</c:f>
              <c:numCache>
                <c:formatCode>General</c:formatCode>
                <c:ptCount val="41"/>
                <c:pt idx="0">
                  <c:v>0.81738995462140374</c:v>
                </c:pt>
                <c:pt idx="1">
                  <c:v>1.0033333333333334</c:v>
                </c:pt>
                <c:pt idx="2">
                  <c:v>1.0398936170212731</c:v>
                </c:pt>
                <c:pt idx="3">
                  <c:v>1.3513949031168</c:v>
                </c:pt>
                <c:pt idx="4">
                  <c:v>1</c:v>
                </c:pt>
                <c:pt idx="5">
                  <c:v>1.111661935483871</c:v>
                </c:pt>
                <c:pt idx="6">
                  <c:v>1.3849462365591398</c:v>
                </c:pt>
                <c:pt idx="7">
                  <c:v>1.1428571428571441</c:v>
                </c:pt>
                <c:pt idx="8">
                  <c:v>1.1176470588235301</c:v>
                </c:pt>
                <c:pt idx="9">
                  <c:v>1</c:v>
                </c:pt>
                <c:pt idx="10">
                  <c:v>1</c:v>
                </c:pt>
                <c:pt idx="11">
                  <c:v>1.0666666666666667</c:v>
                </c:pt>
                <c:pt idx="12">
                  <c:v>1.1000000000000001</c:v>
                </c:pt>
                <c:pt idx="13">
                  <c:v>1.0843537414966018</c:v>
                </c:pt>
                <c:pt idx="14">
                  <c:v>0.84732824427481046</c:v>
                </c:pt>
                <c:pt idx="15">
                  <c:v>0</c:v>
                </c:pt>
                <c:pt idx="16">
                  <c:v>1.4</c:v>
                </c:pt>
                <c:pt idx="17">
                  <c:v>1.2461088414216801</c:v>
                </c:pt>
                <c:pt idx="18">
                  <c:v>0</c:v>
                </c:pt>
                <c:pt idx="19">
                  <c:v>3.0833333333333384</c:v>
                </c:pt>
                <c:pt idx="20">
                  <c:v>1.1542521511820629</c:v>
                </c:pt>
                <c:pt idx="21">
                  <c:v>1.5</c:v>
                </c:pt>
                <c:pt idx="22">
                  <c:v>2.125</c:v>
                </c:pt>
                <c:pt idx="23">
                  <c:v>8.3387096774193541</c:v>
                </c:pt>
                <c:pt idx="24">
                  <c:v>1.1500213174163292</c:v>
                </c:pt>
                <c:pt idx="25">
                  <c:v>1.223776223776224</c:v>
                </c:pt>
                <c:pt idx="26">
                  <c:v>0</c:v>
                </c:pt>
                <c:pt idx="27">
                  <c:v>1.5</c:v>
                </c:pt>
                <c:pt idx="28">
                  <c:v>2.9090909090909087</c:v>
                </c:pt>
                <c:pt idx="29">
                  <c:v>0.92</c:v>
                </c:pt>
                <c:pt idx="30">
                  <c:v>2.2857142857142856</c:v>
                </c:pt>
                <c:pt idx="31">
                  <c:v>1</c:v>
                </c:pt>
                <c:pt idx="32">
                  <c:v>0</c:v>
                </c:pt>
                <c:pt idx="33">
                  <c:v>1.2365094339622642</c:v>
                </c:pt>
                <c:pt idx="34">
                  <c:v>1.2717391304347818</c:v>
                </c:pt>
                <c:pt idx="35">
                  <c:v>1.5</c:v>
                </c:pt>
                <c:pt idx="36">
                  <c:v>1</c:v>
                </c:pt>
                <c:pt idx="37">
                  <c:v>1.4534835783976914</c:v>
                </c:pt>
                <c:pt idx="38">
                  <c:v>0</c:v>
                </c:pt>
                <c:pt idx="39">
                  <c:v>2.6111111111111112</c:v>
                </c:pt>
                <c:pt idx="40">
                  <c:v>1.264472067082562</c:v>
                </c:pt>
              </c:numCache>
            </c:numRef>
          </c:yVal>
          <c:smooth val="0"/>
        </c:ser>
        <c:dLbls>
          <c:showLegendKey val="0"/>
          <c:showVal val="0"/>
          <c:showCatName val="0"/>
          <c:showSerName val="0"/>
          <c:showPercent val="0"/>
          <c:showBubbleSize val="0"/>
        </c:dLbls>
        <c:axId val="314025560"/>
        <c:axId val="314025952"/>
      </c:scatterChart>
      <c:valAx>
        <c:axId val="314025560"/>
        <c:scaling>
          <c:orientation val="minMax"/>
        </c:scaling>
        <c:delete val="0"/>
        <c:axPos val="b"/>
        <c:numFmt formatCode="General" sourceLinked="1"/>
        <c:majorTickMark val="out"/>
        <c:minorTickMark val="none"/>
        <c:tickLblPos val="nextTo"/>
        <c:crossAx val="314025952"/>
        <c:crosses val="autoZero"/>
        <c:crossBetween val="midCat"/>
      </c:valAx>
      <c:valAx>
        <c:axId val="314025952"/>
        <c:scaling>
          <c:orientation val="minMax"/>
        </c:scaling>
        <c:delete val="0"/>
        <c:axPos val="l"/>
        <c:majorGridlines/>
        <c:numFmt formatCode="General" sourceLinked="1"/>
        <c:majorTickMark val="out"/>
        <c:minorTickMark val="none"/>
        <c:tickLblPos val="nextTo"/>
        <c:crossAx val="314025560"/>
        <c:crosses val="autoZero"/>
        <c:crossBetween val="midCat"/>
      </c:valAx>
    </c:plotArea>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zpracování'!$M$2:$M$42</c:f>
              <c:numCache>
                <c:formatCode>General</c:formatCode>
                <c:ptCount val="41"/>
                <c:pt idx="0">
                  <c:v>0.94747899159663851</c:v>
                </c:pt>
                <c:pt idx="1">
                  <c:v>0.9555555555555556</c:v>
                </c:pt>
                <c:pt idx="2">
                  <c:v>1</c:v>
                </c:pt>
                <c:pt idx="3">
                  <c:v>1.2</c:v>
                </c:pt>
                <c:pt idx="4">
                  <c:v>0.755868544600939</c:v>
                </c:pt>
                <c:pt idx="5">
                  <c:v>0.95432300163132133</c:v>
                </c:pt>
                <c:pt idx="6">
                  <c:v>1</c:v>
                </c:pt>
                <c:pt idx="7">
                  <c:v>1</c:v>
                </c:pt>
                <c:pt idx="8">
                  <c:v>1.047619047619045</c:v>
                </c:pt>
                <c:pt idx="9">
                  <c:v>1.0243902439024366</c:v>
                </c:pt>
                <c:pt idx="10">
                  <c:v>1</c:v>
                </c:pt>
                <c:pt idx="11">
                  <c:v>1.0315789473684212</c:v>
                </c:pt>
                <c:pt idx="12">
                  <c:v>1.1000000000000001</c:v>
                </c:pt>
                <c:pt idx="13">
                  <c:v>1.0328083989501298</c:v>
                </c:pt>
                <c:pt idx="14">
                  <c:v>0.85342019543973968</c:v>
                </c:pt>
                <c:pt idx="15">
                  <c:v>0</c:v>
                </c:pt>
                <c:pt idx="16">
                  <c:v>1.0714285714285721</c:v>
                </c:pt>
                <c:pt idx="17">
                  <c:v>1.2727272727272718</c:v>
                </c:pt>
                <c:pt idx="18">
                  <c:v>0</c:v>
                </c:pt>
                <c:pt idx="19">
                  <c:v>2.6666666666666665</c:v>
                </c:pt>
                <c:pt idx="20">
                  <c:v>1</c:v>
                </c:pt>
                <c:pt idx="21">
                  <c:v>1.5</c:v>
                </c:pt>
                <c:pt idx="22">
                  <c:v>1.3333333333333333</c:v>
                </c:pt>
                <c:pt idx="23">
                  <c:v>2.4</c:v>
                </c:pt>
                <c:pt idx="24">
                  <c:v>1.1008064516129032</c:v>
                </c:pt>
                <c:pt idx="25">
                  <c:v>1.1568627450980393</c:v>
                </c:pt>
                <c:pt idx="26">
                  <c:v>1.0657894736842106</c:v>
                </c:pt>
                <c:pt idx="27">
                  <c:v>1.5609756097560981</c:v>
                </c:pt>
                <c:pt idx="28">
                  <c:v>2.3030303030303032</c:v>
                </c:pt>
                <c:pt idx="29">
                  <c:v>0.95000000000000062</c:v>
                </c:pt>
                <c:pt idx="30">
                  <c:v>2.2285714285714371</c:v>
                </c:pt>
                <c:pt idx="31">
                  <c:v>1</c:v>
                </c:pt>
                <c:pt idx="32">
                  <c:v>0</c:v>
                </c:pt>
                <c:pt idx="33">
                  <c:v>0.75342465753424814</c:v>
                </c:pt>
                <c:pt idx="34">
                  <c:v>1.1333333333333333</c:v>
                </c:pt>
                <c:pt idx="35">
                  <c:v>1.3333333333333333</c:v>
                </c:pt>
                <c:pt idx="36">
                  <c:v>1</c:v>
                </c:pt>
                <c:pt idx="37">
                  <c:v>1.40625</c:v>
                </c:pt>
                <c:pt idx="38">
                  <c:v>1.3333333333333333</c:v>
                </c:pt>
                <c:pt idx="39">
                  <c:v>2.6133333333333342</c:v>
                </c:pt>
                <c:pt idx="40">
                  <c:v>1</c:v>
                </c:pt>
              </c:numCache>
            </c:numRef>
          </c:xVal>
          <c:yVal>
            <c:numRef>
              <c:f>'Úroveň zpracování'!$Y$2:$Y$42</c:f>
              <c:numCache>
                <c:formatCode>General</c:formatCode>
                <c:ptCount val="41"/>
                <c:pt idx="0">
                  <c:v>0.89416058394160403</c:v>
                </c:pt>
                <c:pt idx="1">
                  <c:v>0.90000924129008464</c:v>
                </c:pt>
                <c:pt idx="2">
                  <c:v>0.96152613016992627</c:v>
                </c:pt>
                <c:pt idx="3">
                  <c:v>0.6998987388382587</c:v>
                </c:pt>
                <c:pt idx="4">
                  <c:v>0.75469152459217737</c:v>
                </c:pt>
                <c:pt idx="5">
                  <c:v>0.85513544835578903</c:v>
                </c:pt>
                <c:pt idx="6">
                  <c:v>1</c:v>
                </c:pt>
                <c:pt idx="7">
                  <c:v>0.8936170212765957</c:v>
                </c:pt>
                <c:pt idx="8">
                  <c:v>1</c:v>
                </c:pt>
                <c:pt idx="9">
                  <c:v>1</c:v>
                </c:pt>
                <c:pt idx="10">
                  <c:v>0.78600470789642629</c:v>
                </c:pt>
                <c:pt idx="11">
                  <c:v>1</c:v>
                </c:pt>
                <c:pt idx="12">
                  <c:v>0</c:v>
                </c:pt>
                <c:pt idx="13">
                  <c:v>1.1024643320363166</c:v>
                </c:pt>
                <c:pt idx="14">
                  <c:v>0.85093452585712648</c:v>
                </c:pt>
                <c:pt idx="15">
                  <c:v>0</c:v>
                </c:pt>
                <c:pt idx="16">
                  <c:v>1.0869565217391328</c:v>
                </c:pt>
                <c:pt idx="17">
                  <c:v>1</c:v>
                </c:pt>
                <c:pt idx="18">
                  <c:v>0</c:v>
                </c:pt>
                <c:pt idx="19">
                  <c:v>2.6363636363636327</c:v>
                </c:pt>
                <c:pt idx="20">
                  <c:v>0.89957567185289955</c:v>
                </c:pt>
                <c:pt idx="21">
                  <c:v>1.5</c:v>
                </c:pt>
                <c:pt idx="22">
                  <c:v>1.3846153846153861</c:v>
                </c:pt>
                <c:pt idx="23">
                  <c:v>6</c:v>
                </c:pt>
                <c:pt idx="24">
                  <c:v>1.1499999999999972</c:v>
                </c:pt>
                <c:pt idx="25">
                  <c:v>1</c:v>
                </c:pt>
                <c:pt idx="26">
                  <c:v>1.2121212121212097</c:v>
                </c:pt>
                <c:pt idx="27">
                  <c:v>5</c:v>
                </c:pt>
                <c:pt idx="28">
                  <c:v>2.4618937644341803</c:v>
                </c:pt>
                <c:pt idx="29">
                  <c:v>0.91176470588235115</c:v>
                </c:pt>
                <c:pt idx="30">
                  <c:v>2.2857142857142856</c:v>
                </c:pt>
                <c:pt idx="31">
                  <c:v>1.491596638655458</c:v>
                </c:pt>
                <c:pt idx="32">
                  <c:v>0</c:v>
                </c:pt>
                <c:pt idx="33">
                  <c:v>1.0473684210526315</c:v>
                </c:pt>
                <c:pt idx="34">
                  <c:v>1.25</c:v>
                </c:pt>
                <c:pt idx="35">
                  <c:v>0</c:v>
                </c:pt>
                <c:pt idx="36">
                  <c:v>1</c:v>
                </c:pt>
                <c:pt idx="37">
                  <c:v>2.1718749999999987</c:v>
                </c:pt>
                <c:pt idx="38">
                  <c:v>1.5</c:v>
                </c:pt>
                <c:pt idx="39">
                  <c:v>1.1702127659574493</c:v>
                </c:pt>
                <c:pt idx="40">
                  <c:v>1.0058139534883719</c:v>
                </c:pt>
              </c:numCache>
            </c:numRef>
          </c:yVal>
          <c:smooth val="0"/>
        </c:ser>
        <c:dLbls>
          <c:showLegendKey val="0"/>
          <c:showVal val="0"/>
          <c:showCatName val="0"/>
          <c:showSerName val="0"/>
          <c:showPercent val="0"/>
          <c:showBubbleSize val="0"/>
        </c:dLbls>
        <c:axId val="345715696"/>
        <c:axId val="345716088"/>
      </c:scatterChart>
      <c:valAx>
        <c:axId val="345715696"/>
        <c:scaling>
          <c:orientation val="minMax"/>
        </c:scaling>
        <c:delete val="0"/>
        <c:axPos val="b"/>
        <c:numFmt formatCode="General" sourceLinked="1"/>
        <c:majorTickMark val="out"/>
        <c:minorTickMark val="none"/>
        <c:tickLblPos val="nextTo"/>
        <c:crossAx val="345716088"/>
        <c:crosses val="autoZero"/>
        <c:crossBetween val="midCat"/>
      </c:valAx>
      <c:valAx>
        <c:axId val="345716088"/>
        <c:scaling>
          <c:orientation val="minMax"/>
        </c:scaling>
        <c:delete val="0"/>
        <c:axPos val="l"/>
        <c:majorGridlines/>
        <c:numFmt formatCode="General" sourceLinked="1"/>
        <c:majorTickMark val="out"/>
        <c:minorTickMark val="none"/>
        <c:tickLblPos val="nextTo"/>
        <c:crossAx val="345715696"/>
        <c:crosses val="autoZero"/>
        <c:crossBetween val="midCat"/>
      </c:valAx>
    </c:plotArea>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zpracování'!$AW$2:$AW$6</c:f>
              <c:numCache>
                <c:formatCode>General</c:formatCode>
                <c:ptCount val="5"/>
                <c:pt idx="0">
                  <c:v>0</c:v>
                </c:pt>
                <c:pt idx="1">
                  <c:v>0.99390215586998809</c:v>
                </c:pt>
                <c:pt idx="2">
                  <c:v>1.008411102655506</c:v>
                </c:pt>
                <c:pt idx="3">
                  <c:v>1.155126056288847</c:v>
                </c:pt>
                <c:pt idx="4">
                  <c:v>1.1556985675731779</c:v>
                </c:pt>
              </c:numCache>
            </c:numRef>
          </c:xVal>
          <c:yVal>
            <c:numRef>
              <c:f>'Úroveň zpracování'!$AX$2:$AX$6</c:f>
              <c:numCache>
                <c:formatCode>General</c:formatCode>
                <c:ptCount val="5"/>
                <c:pt idx="0">
                  <c:v>0</c:v>
                </c:pt>
                <c:pt idx="1">
                  <c:v>0.92456014499533679</c:v>
                </c:pt>
                <c:pt idx="2">
                  <c:v>1.008411102655506</c:v>
                </c:pt>
                <c:pt idx="3">
                  <c:v>1.155126056288847</c:v>
                </c:pt>
                <c:pt idx="4">
                  <c:v>1.2906373261366024</c:v>
                </c:pt>
              </c:numCache>
            </c:numRef>
          </c:yVal>
          <c:smooth val="0"/>
        </c:ser>
        <c:dLbls>
          <c:showLegendKey val="0"/>
          <c:showVal val="0"/>
          <c:showCatName val="0"/>
          <c:showSerName val="0"/>
          <c:showPercent val="0"/>
          <c:showBubbleSize val="0"/>
        </c:dLbls>
        <c:axId val="345716872"/>
        <c:axId val="110087600"/>
      </c:scatterChart>
      <c:valAx>
        <c:axId val="345716872"/>
        <c:scaling>
          <c:orientation val="minMax"/>
        </c:scaling>
        <c:delete val="0"/>
        <c:axPos val="b"/>
        <c:numFmt formatCode="General" sourceLinked="1"/>
        <c:majorTickMark val="out"/>
        <c:minorTickMark val="none"/>
        <c:tickLblPos val="nextTo"/>
        <c:crossAx val="110087600"/>
        <c:crosses val="autoZero"/>
        <c:crossBetween val="midCat"/>
      </c:valAx>
      <c:valAx>
        <c:axId val="110087600"/>
        <c:scaling>
          <c:orientation val="minMax"/>
        </c:scaling>
        <c:delete val="0"/>
        <c:axPos val="l"/>
        <c:majorGridlines/>
        <c:numFmt formatCode="General" sourceLinked="1"/>
        <c:majorTickMark val="out"/>
        <c:minorTickMark val="none"/>
        <c:tickLblPos val="nextTo"/>
        <c:crossAx val="345716872"/>
        <c:crosses val="autoZero"/>
        <c:crossBetween val="midCat"/>
      </c:valAx>
    </c:plotArea>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zpracování'!$AW$2:$AW$20</c:f>
              <c:numCache>
                <c:formatCode>General</c:formatCode>
                <c:ptCount val="19"/>
                <c:pt idx="0">
                  <c:v>0</c:v>
                </c:pt>
                <c:pt idx="1">
                  <c:v>0.99390215586998809</c:v>
                </c:pt>
                <c:pt idx="2">
                  <c:v>1.008411102655506</c:v>
                </c:pt>
                <c:pt idx="3">
                  <c:v>1.155126056288847</c:v>
                </c:pt>
                <c:pt idx="4">
                  <c:v>1.1556985675731779</c:v>
                </c:pt>
                <c:pt idx="5">
                  <c:v>0.91003065903356262</c:v>
                </c:pt>
                <c:pt idx="6">
                  <c:v>1.0133333333333334</c:v>
                </c:pt>
                <c:pt idx="7">
                  <c:v>1.1587301587301588</c:v>
                </c:pt>
                <c:pt idx="8">
                  <c:v>1</c:v>
                </c:pt>
                <c:pt idx="9">
                  <c:v>1.0258784096162741</c:v>
                </c:pt>
                <c:pt idx="10">
                  <c:v>1</c:v>
                </c:pt>
                <c:pt idx="11">
                  <c:v>1.0625</c:v>
                </c:pt>
                <c:pt idx="12">
                  <c:v>1.4</c:v>
                </c:pt>
                <c:pt idx="13">
                  <c:v>1.3174603174603148</c:v>
                </c:pt>
                <c:pt idx="14">
                  <c:v>1</c:v>
                </c:pt>
                <c:pt idx="15">
                  <c:v>0</c:v>
                </c:pt>
                <c:pt idx="16">
                  <c:v>3.5</c:v>
                </c:pt>
                <c:pt idx="17">
                  <c:v>2.1034158075348586</c:v>
                </c:pt>
                <c:pt idx="18">
                  <c:v>0</c:v>
                </c:pt>
              </c:numCache>
            </c:numRef>
          </c:xVal>
          <c:yVal>
            <c:numRef>
              <c:f>'Úroveň zpracování'!$AX$2:$AX$20</c:f>
              <c:numCache>
                <c:formatCode>General</c:formatCode>
                <c:ptCount val="19"/>
                <c:pt idx="0">
                  <c:v>0</c:v>
                </c:pt>
                <c:pt idx="1">
                  <c:v>0.92456014499533679</c:v>
                </c:pt>
                <c:pt idx="2">
                  <c:v>1.008411102655506</c:v>
                </c:pt>
                <c:pt idx="3">
                  <c:v>1.155126056288847</c:v>
                </c:pt>
                <c:pt idx="4">
                  <c:v>1.2906373261366024</c:v>
                </c:pt>
                <c:pt idx="5">
                  <c:v>0.91003065903356262</c:v>
                </c:pt>
                <c:pt idx="6">
                  <c:v>1.0133333333333334</c:v>
                </c:pt>
                <c:pt idx="7">
                  <c:v>1.1587301587301588</c:v>
                </c:pt>
                <c:pt idx="8">
                  <c:v>1</c:v>
                </c:pt>
                <c:pt idx="9">
                  <c:v>1.0258784096162741</c:v>
                </c:pt>
                <c:pt idx="10">
                  <c:v>1.0586216868976592</c:v>
                </c:pt>
                <c:pt idx="11">
                  <c:v>1.125</c:v>
                </c:pt>
                <c:pt idx="12">
                  <c:v>1.4</c:v>
                </c:pt>
                <c:pt idx="13">
                  <c:v>1.3174603174603148</c:v>
                </c:pt>
                <c:pt idx="14">
                  <c:v>1</c:v>
                </c:pt>
                <c:pt idx="15">
                  <c:v>0</c:v>
                </c:pt>
                <c:pt idx="16">
                  <c:v>6.25</c:v>
                </c:pt>
                <c:pt idx="17">
                  <c:v>2.1034158075348586</c:v>
                </c:pt>
                <c:pt idx="18">
                  <c:v>0</c:v>
                </c:pt>
              </c:numCache>
            </c:numRef>
          </c:yVal>
          <c:smooth val="0"/>
        </c:ser>
        <c:dLbls>
          <c:showLegendKey val="0"/>
          <c:showVal val="0"/>
          <c:showCatName val="0"/>
          <c:showSerName val="0"/>
          <c:showPercent val="0"/>
          <c:showBubbleSize val="0"/>
        </c:dLbls>
        <c:axId val="110088384"/>
        <c:axId val="110088776"/>
      </c:scatterChart>
      <c:valAx>
        <c:axId val="110088384"/>
        <c:scaling>
          <c:orientation val="minMax"/>
        </c:scaling>
        <c:delete val="0"/>
        <c:axPos val="b"/>
        <c:numFmt formatCode="General" sourceLinked="1"/>
        <c:majorTickMark val="out"/>
        <c:minorTickMark val="none"/>
        <c:tickLblPos val="nextTo"/>
        <c:crossAx val="110088776"/>
        <c:crosses val="autoZero"/>
        <c:crossBetween val="midCat"/>
      </c:valAx>
      <c:valAx>
        <c:axId val="110088776"/>
        <c:scaling>
          <c:orientation val="minMax"/>
        </c:scaling>
        <c:delete val="0"/>
        <c:axPos val="l"/>
        <c:majorGridlines/>
        <c:numFmt formatCode="General" sourceLinked="1"/>
        <c:majorTickMark val="out"/>
        <c:minorTickMark val="none"/>
        <c:tickLblPos val="nextTo"/>
        <c:crossAx val="110088384"/>
        <c:crosses val="autoZero"/>
        <c:crossBetween val="midCat"/>
      </c:valAx>
    </c:plotArea>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zpracování'!$AW$2:$AW$42</c:f>
              <c:numCache>
                <c:formatCode>General</c:formatCode>
                <c:ptCount val="41"/>
                <c:pt idx="0">
                  <c:v>0</c:v>
                </c:pt>
                <c:pt idx="1">
                  <c:v>0.99390215586998809</c:v>
                </c:pt>
                <c:pt idx="2">
                  <c:v>1.008411102655506</c:v>
                </c:pt>
                <c:pt idx="3">
                  <c:v>1.155126056288847</c:v>
                </c:pt>
                <c:pt idx="4">
                  <c:v>1.1556985675731779</c:v>
                </c:pt>
                <c:pt idx="5">
                  <c:v>0.91003065903356262</c:v>
                </c:pt>
                <c:pt idx="6">
                  <c:v>1.0133333333333334</c:v>
                </c:pt>
                <c:pt idx="7">
                  <c:v>1.1587301587301588</c:v>
                </c:pt>
                <c:pt idx="8">
                  <c:v>1</c:v>
                </c:pt>
                <c:pt idx="9">
                  <c:v>1.0258784096162741</c:v>
                </c:pt>
                <c:pt idx="10">
                  <c:v>1</c:v>
                </c:pt>
                <c:pt idx="11">
                  <c:v>1.0625</c:v>
                </c:pt>
                <c:pt idx="12">
                  <c:v>1.4</c:v>
                </c:pt>
                <c:pt idx="13">
                  <c:v>1.3174603174603148</c:v>
                </c:pt>
                <c:pt idx="14">
                  <c:v>1</c:v>
                </c:pt>
                <c:pt idx="15">
                  <c:v>0</c:v>
                </c:pt>
                <c:pt idx="16">
                  <c:v>3.5</c:v>
                </c:pt>
                <c:pt idx="17">
                  <c:v>2.1034158075348586</c:v>
                </c:pt>
                <c:pt idx="18">
                  <c:v>0</c:v>
                </c:pt>
                <c:pt idx="19">
                  <c:v>2.5</c:v>
                </c:pt>
                <c:pt idx="20">
                  <c:v>1</c:v>
                </c:pt>
                <c:pt idx="21">
                  <c:v>1.2</c:v>
                </c:pt>
                <c:pt idx="22">
                  <c:v>1.25</c:v>
                </c:pt>
                <c:pt idx="23">
                  <c:v>3</c:v>
                </c:pt>
                <c:pt idx="24">
                  <c:v>1</c:v>
                </c:pt>
                <c:pt idx="25">
                  <c:v>1.1103537812398581</c:v>
                </c:pt>
                <c:pt idx="26">
                  <c:v>1</c:v>
                </c:pt>
                <c:pt idx="27">
                  <c:v>1.6</c:v>
                </c:pt>
                <c:pt idx="28">
                  <c:v>3</c:v>
                </c:pt>
                <c:pt idx="29">
                  <c:v>1</c:v>
                </c:pt>
                <c:pt idx="30">
                  <c:v>2.2999999999999998</c:v>
                </c:pt>
                <c:pt idx="31">
                  <c:v>1</c:v>
                </c:pt>
                <c:pt idx="32">
                  <c:v>0</c:v>
                </c:pt>
                <c:pt idx="33">
                  <c:v>1.1042905116492503</c:v>
                </c:pt>
                <c:pt idx="34">
                  <c:v>1</c:v>
                </c:pt>
                <c:pt idx="35">
                  <c:v>1.8</c:v>
                </c:pt>
                <c:pt idx="36">
                  <c:v>1</c:v>
                </c:pt>
                <c:pt idx="37">
                  <c:v>1</c:v>
                </c:pt>
                <c:pt idx="38">
                  <c:v>0</c:v>
                </c:pt>
                <c:pt idx="39">
                  <c:v>0</c:v>
                </c:pt>
                <c:pt idx="40">
                  <c:v>1.097398877048241</c:v>
                </c:pt>
              </c:numCache>
            </c:numRef>
          </c:xVal>
          <c:yVal>
            <c:numRef>
              <c:f>'Úroveň zpracování'!$AX$2:$AX$42</c:f>
              <c:numCache>
                <c:formatCode>General</c:formatCode>
                <c:ptCount val="41"/>
                <c:pt idx="0">
                  <c:v>0</c:v>
                </c:pt>
                <c:pt idx="1">
                  <c:v>0.92456014499533679</c:v>
                </c:pt>
                <c:pt idx="2">
                  <c:v>1.008411102655506</c:v>
                </c:pt>
                <c:pt idx="3">
                  <c:v>1.155126056288847</c:v>
                </c:pt>
                <c:pt idx="4">
                  <c:v>1.2906373261366024</c:v>
                </c:pt>
                <c:pt idx="5">
                  <c:v>0.91003065903356262</c:v>
                </c:pt>
                <c:pt idx="6">
                  <c:v>1.0133333333333334</c:v>
                </c:pt>
                <c:pt idx="7">
                  <c:v>1.1587301587301588</c:v>
                </c:pt>
                <c:pt idx="8">
                  <c:v>1</c:v>
                </c:pt>
                <c:pt idx="9">
                  <c:v>1.0258784096162741</c:v>
                </c:pt>
                <c:pt idx="10">
                  <c:v>1.0586216868976592</c:v>
                </c:pt>
                <c:pt idx="11">
                  <c:v>1.125</c:v>
                </c:pt>
                <c:pt idx="12">
                  <c:v>1.4</c:v>
                </c:pt>
                <c:pt idx="13">
                  <c:v>1.3174603174603148</c:v>
                </c:pt>
                <c:pt idx="14">
                  <c:v>1</c:v>
                </c:pt>
                <c:pt idx="15">
                  <c:v>0</c:v>
                </c:pt>
                <c:pt idx="16">
                  <c:v>6.25</c:v>
                </c:pt>
                <c:pt idx="17">
                  <c:v>2.1034158075348586</c:v>
                </c:pt>
                <c:pt idx="18">
                  <c:v>0</c:v>
                </c:pt>
                <c:pt idx="19">
                  <c:v>2.5</c:v>
                </c:pt>
                <c:pt idx="20">
                  <c:v>1</c:v>
                </c:pt>
                <c:pt idx="21">
                  <c:v>1.4</c:v>
                </c:pt>
                <c:pt idx="22">
                  <c:v>1.75</c:v>
                </c:pt>
                <c:pt idx="23">
                  <c:v>7</c:v>
                </c:pt>
                <c:pt idx="24">
                  <c:v>1</c:v>
                </c:pt>
                <c:pt idx="25">
                  <c:v>1.165530671859786</c:v>
                </c:pt>
                <c:pt idx="26">
                  <c:v>1</c:v>
                </c:pt>
                <c:pt idx="27">
                  <c:v>2.4</c:v>
                </c:pt>
                <c:pt idx="28">
                  <c:v>7</c:v>
                </c:pt>
                <c:pt idx="29">
                  <c:v>1</c:v>
                </c:pt>
                <c:pt idx="30">
                  <c:v>3.8</c:v>
                </c:pt>
                <c:pt idx="31">
                  <c:v>1.1512096774193514</c:v>
                </c:pt>
                <c:pt idx="32">
                  <c:v>0</c:v>
                </c:pt>
                <c:pt idx="33">
                  <c:v>1.1042905116492503</c:v>
                </c:pt>
                <c:pt idx="34">
                  <c:v>1</c:v>
                </c:pt>
                <c:pt idx="35">
                  <c:v>2.2000000000000002</c:v>
                </c:pt>
                <c:pt idx="36">
                  <c:v>1</c:v>
                </c:pt>
                <c:pt idx="37">
                  <c:v>1</c:v>
                </c:pt>
                <c:pt idx="38">
                  <c:v>0</c:v>
                </c:pt>
                <c:pt idx="39">
                  <c:v>0</c:v>
                </c:pt>
                <c:pt idx="40">
                  <c:v>1.2005270998052022</c:v>
                </c:pt>
              </c:numCache>
            </c:numRef>
          </c:yVal>
          <c:smooth val="0"/>
        </c:ser>
        <c:dLbls>
          <c:showLegendKey val="0"/>
          <c:showVal val="0"/>
          <c:showCatName val="0"/>
          <c:showSerName val="0"/>
          <c:showPercent val="0"/>
          <c:showBubbleSize val="0"/>
        </c:dLbls>
        <c:axId val="146153320"/>
        <c:axId val="146153712"/>
      </c:scatterChart>
      <c:valAx>
        <c:axId val="146153320"/>
        <c:scaling>
          <c:orientation val="minMax"/>
        </c:scaling>
        <c:delete val="0"/>
        <c:axPos val="b"/>
        <c:numFmt formatCode="General" sourceLinked="1"/>
        <c:majorTickMark val="out"/>
        <c:minorTickMark val="none"/>
        <c:tickLblPos val="nextTo"/>
        <c:crossAx val="146153712"/>
        <c:crosses val="autoZero"/>
        <c:crossBetween val="midCat"/>
      </c:valAx>
      <c:valAx>
        <c:axId val="146153712"/>
        <c:scaling>
          <c:orientation val="minMax"/>
        </c:scaling>
        <c:delete val="0"/>
        <c:axPos val="l"/>
        <c:majorGridlines/>
        <c:numFmt formatCode="General" sourceLinked="1"/>
        <c:majorTickMark val="out"/>
        <c:minorTickMark val="none"/>
        <c:tickLblPos val="nextTo"/>
        <c:crossAx val="146153320"/>
        <c:crosses val="autoZero"/>
        <c:crossBetween val="midCat"/>
      </c:valAx>
    </c:plotArea>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zpracování'!$AQ$2:$AQ$5</c:f>
              <c:numCache>
                <c:formatCode>General</c:formatCode>
                <c:ptCount val="4"/>
                <c:pt idx="0">
                  <c:v>0</c:v>
                </c:pt>
                <c:pt idx="1">
                  <c:v>1.05</c:v>
                </c:pt>
                <c:pt idx="2">
                  <c:v>5.9090909090909092</c:v>
                </c:pt>
                <c:pt idx="3">
                  <c:v>1.2</c:v>
                </c:pt>
              </c:numCache>
            </c:numRef>
          </c:xVal>
          <c:yVal>
            <c:numRef>
              <c:f>'Úroveň zpracování'!$AR$2:$AR$5</c:f>
              <c:numCache>
                <c:formatCode>General</c:formatCode>
                <c:ptCount val="4"/>
                <c:pt idx="0">
                  <c:v>0</c:v>
                </c:pt>
                <c:pt idx="1">
                  <c:v>1.1304255319148941</c:v>
                </c:pt>
                <c:pt idx="2">
                  <c:v>15</c:v>
                </c:pt>
                <c:pt idx="3">
                  <c:v>1.44</c:v>
                </c:pt>
              </c:numCache>
            </c:numRef>
          </c:yVal>
          <c:smooth val="0"/>
        </c:ser>
        <c:dLbls>
          <c:showLegendKey val="0"/>
          <c:showVal val="0"/>
          <c:showCatName val="0"/>
          <c:showSerName val="0"/>
          <c:showPercent val="0"/>
          <c:showBubbleSize val="0"/>
        </c:dLbls>
        <c:axId val="146154496"/>
        <c:axId val="146154888"/>
      </c:scatterChart>
      <c:valAx>
        <c:axId val="146154496"/>
        <c:scaling>
          <c:orientation val="minMax"/>
        </c:scaling>
        <c:delete val="0"/>
        <c:axPos val="b"/>
        <c:numFmt formatCode="General" sourceLinked="1"/>
        <c:majorTickMark val="out"/>
        <c:minorTickMark val="none"/>
        <c:tickLblPos val="nextTo"/>
        <c:crossAx val="146154888"/>
        <c:crosses val="autoZero"/>
        <c:crossBetween val="midCat"/>
      </c:valAx>
      <c:valAx>
        <c:axId val="146154888"/>
        <c:scaling>
          <c:orientation val="minMax"/>
        </c:scaling>
        <c:delete val="0"/>
        <c:axPos val="l"/>
        <c:majorGridlines/>
        <c:numFmt formatCode="General" sourceLinked="1"/>
        <c:majorTickMark val="out"/>
        <c:minorTickMark val="none"/>
        <c:tickLblPos val="nextTo"/>
        <c:crossAx val="146154496"/>
        <c:crosses val="autoZero"/>
        <c:crossBetween val="midCat"/>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view3D>
    <c:floor>
      <c:thickness val="0"/>
    </c:floor>
    <c:sideWall>
      <c:thickness val="0"/>
    </c:sideWall>
    <c:backWall>
      <c:thickness val="0"/>
    </c:backWall>
    <c:plotArea>
      <c:layout/>
      <c:bar3DChart>
        <c:barDir val="col"/>
        <c:grouping val="standard"/>
        <c:varyColors val="0"/>
        <c:ser>
          <c:idx val="0"/>
          <c:order val="0"/>
          <c:tx>
            <c:strRef>
              <c:f>'kvadr datovy'!$C$2</c:f>
              <c:strCache>
                <c:ptCount val="1"/>
                <c:pt idx="0">
                  <c:v>Stav</c:v>
                </c:pt>
              </c:strCache>
            </c:strRef>
          </c:tx>
          <c:invertIfNegative val="0"/>
          <c:cat>
            <c:strRef>
              <c:f>'kvadr datovy'!$B$3:$B$9</c:f>
              <c:strCache>
                <c:ptCount val="7"/>
                <c:pt idx="0">
                  <c:v>Zaměstnanci</c:v>
                </c:pt>
                <c:pt idx="1">
                  <c:v>Studenti</c:v>
                </c:pt>
                <c:pt idx="2">
                  <c:v>Finance</c:v>
                </c:pt>
                <c:pt idx="3">
                  <c:v>Prostory</c:v>
                </c:pt>
                <c:pt idx="4">
                  <c:v>Přístroje</c:v>
                </c:pt>
                <c:pt idx="5">
                  <c:v>Info zdroje</c:v>
                </c:pt>
                <c:pt idx="6">
                  <c:v>Info technologie</c:v>
                </c:pt>
              </c:strCache>
            </c:strRef>
          </c:cat>
          <c:val>
            <c:numRef>
              <c:f>'kvadr datovy'!$C$3:$C$9</c:f>
              <c:numCache>
                <c:formatCode>General</c:formatCode>
                <c:ptCount val="7"/>
                <c:pt idx="0">
                  <c:v>0</c:v>
                </c:pt>
                <c:pt idx="1">
                  <c:v>4</c:v>
                </c:pt>
                <c:pt idx="2">
                  <c:v>8</c:v>
                </c:pt>
                <c:pt idx="3">
                  <c:v>9</c:v>
                </c:pt>
                <c:pt idx="4">
                  <c:v>10</c:v>
                </c:pt>
                <c:pt idx="5">
                  <c:v>12</c:v>
                </c:pt>
                <c:pt idx="6">
                  <c:v>14</c:v>
                </c:pt>
              </c:numCache>
            </c:numRef>
          </c:val>
        </c:ser>
        <c:ser>
          <c:idx val="1"/>
          <c:order val="1"/>
          <c:tx>
            <c:strRef>
              <c:f>'kvadr datovy'!$D$2</c:f>
              <c:strCache>
                <c:ptCount val="1"/>
                <c:pt idx="0">
                  <c:v>2020</c:v>
                </c:pt>
              </c:strCache>
            </c:strRef>
          </c:tx>
          <c:invertIfNegative val="0"/>
          <c:cat>
            <c:strRef>
              <c:f>'kvadr datovy'!$B$3:$B$9</c:f>
              <c:strCache>
                <c:ptCount val="7"/>
                <c:pt idx="0">
                  <c:v>Zaměstnanci</c:v>
                </c:pt>
                <c:pt idx="1">
                  <c:v>Studenti</c:v>
                </c:pt>
                <c:pt idx="2">
                  <c:v>Finance</c:v>
                </c:pt>
                <c:pt idx="3">
                  <c:v>Prostory</c:v>
                </c:pt>
                <c:pt idx="4">
                  <c:v>Přístroje</c:v>
                </c:pt>
                <c:pt idx="5">
                  <c:v>Info zdroje</c:v>
                </c:pt>
                <c:pt idx="6">
                  <c:v>Info technologie</c:v>
                </c:pt>
              </c:strCache>
            </c:strRef>
          </c:cat>
          <c:val>
            <c:numRef>
              <c:f>'kvadr datovy'!$D$3:$D$9</c:f>
              <c:numCache>
                <c:formatCode>General</c:formatCode>
                <c:ptCount val="7"/>
                <c:pt idx="0">
                  <c:v>4</c:v>
                </c:pt>
                <c:pt idx="1">
                  <c:v>8</c:v>
                </c:pt>
                <c:pt idx="2">
                  <c:v>9</c:v>
                </c:pt>
                <c:pt idx="3">
                  <c:v>10</c:v>
                </c:pt>
                <c:pt idx="4">
                  <c:v>12</c:v>
                </c:pt>
                <c:pt idx="5">
                  <c:v>14</c:v>
                </c:pt>
                <c:pt idx="6">
                  <c:v>17</c:v>
                </c:pt>
              </c:numCache>
            </c:numRef>
          </c:val>
        </c:ser>
        <c:ser>
          <c:idx val="2"/>
          <c:order val="2"/>
          <c:tx>
            <c:strRef>
              <c:f>'kvadr datovy'!$E$2</c:f>
              <c:strCache>
                <c:ptCount val="1"/>
                <c:pt idx="0">
                  <c:v>2030</c:v>
                </c:pt>
              </c:strCache>
            </c:strRef>
          </c:tx>
          <c:invertIfNegative val="0"/>
          <c:cat>
            <c:strRef>
              <c:f>'kvadr datovy'!$B$3:$B$9</c:f>
              <c:strCache>
                <c:ptCount val="7"/>
                <c:pt idx="0">
                  <c:v>Zaměstnanci</c:v>
                </c:pt>
                <c:pt idx="1">
                  <c:v>Studenti</c:v>
                </c:pt>
                <c:pt idx="2">
                  <c:v>Finance</c:v>
                </c:pt>
                <c:pt idx="3">
                  <c:v>Prostory</c:v>
                </c:pt>
                <c:pt idx="4">
                  <c:v>Přístroje</c:v>
                </c:pt>
                <c:pt idx="5">
                  <c:v>Info zdroje</c:v>
                </c:pt>
                <c:pt idx="6">
                  <c:v>Info technologie</c:v>
                </c:pt>
              </c:strCache>
            </c:strRef>
          </c:cat>
          <c:val>
            <c:numRef>
              <c:f>'kvadr datovy'!$E$3:$E$9</c:f>
              <c:numCache>
                <c:formatCode>General</c:formatCode>
                <c:ptCount val="7"/>
                <c:pt idx="0">
                  <c:v>8</c:v>
                </c:pt>
                <c:pt idx="1">
                  <c:v>9</c:v>
                </c:pt>
                <c:pt idx="2">
                  <c:v>10</c:v>
                </c:pt>
                <c:pt idx="3">
                  <c:v>12</c:v>
                </c:pt>
                <c:pt idx="4">
                  <c:v>14</c:v>
                </c:pt>
                <c:pt idx="5">
                  <c:v>17</c:v>
                </c:pt>
                <c:pt idx="6">
                  <c:v>18</c:v>
                </c:pt>
              </c:numCache>
            </c:numRef>
          </c:val>
        </c:ser>
        <c:dLbls>
          <c:showLegendKey val="0"/>
          <c:showVal val="0"/>
          <c:showCatName val="0"/>
          <c:showSerName val="0"/>
          <c:showPercent val="0"/>
          <c:showBubbleSize val="0"/>
        </c:dLbls>
        <c:gapWidth val="150"/>
        <c:shape val="box"/>
        <c:axId val="310813040"/>
        <c:axId val="310813432"/>
        <c:axId val="107998072"/>
      </c:bar3DChart>
      <c:catAx>
        <c:axId val="310813040"/>
        <c:scaling>
          <c:orientation val="minMax"/>
        </c:scaling>
        <c:delete val="0"/>
        <c:axPos val="b"/>
        <c:numFmt formatCode="General" sourceLinked="0"/>
        <c:majorTickMark val="out"/>
        <c:minorTickMark val="none"/>
        <c:tickLblPos val="nextTo"/>
        <c:crossAx val="310813432"/>
        <c:crosses val="autoZero"/>
        <c:auto val="1"/>
        <c:lblAlgn val="ctr"/>
        <c:lblOffset val="100"/>
        <c:noMultiLvlLbl val="0"/>
      </c:catAx>
      <c:valAx>
        <c:axId val="310813432"/>
        <c:scaling>
          <c:orientation val="minMax"/>
        </c:scaling>
        <c:delete val="0"/>
        <c:axPos val="l"/>
        <c:majorGridlines/>
        <c:numFmt formatCode="General" sourceLinked="1"/>
        <c:majorTickMark val="out"/>
        <c:minorTickMark val="none"/>
        <c:tickLblPos val="nextTo"/>
        <c:crossAx val="310813040"/>
        <c:crosses val="autoZero"/>
        <c:crossBetween val="between"/>
      </c:valAx>
      <c:serAx>
        <c:axId val="107998072"/>
        <c:scaling>
          <c:orientation val="minMax"/>
        </c:scaling>
        <c:delete val="0"/>
        <c:axPos val="b"/>
        <c:majorTickMark val="out"/>
        <c:minorTickMark val="none"/>
        <c:tickLblPos val="nextTo"/>
        <c:crossAx val="310813432"/>
        <c:crosses val="autoZero"/>
      </c:serAx>
    </c:plotArea>
    <c:legend>
      <c:legendPos val="r"/>
      <c:overlay val="0"/>
    </c:legend>
    <c:plotVisOnly val="1"/>
    <c:dispBlanksAs val="gap"/>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zpracování'!$AQ$2:$AQ$20</c:f>
              <c:numCache>
                <c:formatCode>General</c:formatCode>
                <c:ptCount val="19"/>
                <c:pt idx="0">
                  <c:v>0</c:v>
                </c:pt>
                <c:pt idx="1">
                  <c:v>1.05</c:v>
                </c:pt>
                <c:pt idx="2">
                  <c:v>5.9090909090909092</c:v>
                </c:pt>
                <c:pt idx="3">
                  <c:v>1.2</c:v>
                </c:pt>
                <c:pt idx="4">
                  <c:v>0</c:v>
                </c:pt>
                <c:pt idx="5">
                  <c:v>1.1105769230769262</c:v>
                </c:pt>
                <c:pt idx="6">
                  <c:v>1.8181818181818181</c:v>
                </c:pt>
                <c:pt idx="7">
                  <c:v>1.1764705882352966</c:v>
                </c:pt>
                <c:pt idx="8">
                  <c:v>0</c:v>
                </c:pt>
                <c:pt idx="9">
                  <c:v>1.0342950817423273</c:v>
                </c:pt>
                <c:pt idx="10">
                  <c:v>1.4688822394440932</c:v>
                </c:pt>
                <c:pt idx="11">
                  <c:v>1.05</c:v>
                </c:pt>
                <c:pt idx="12">
                  <c:v>1.1000000000000001</c:v>
                </c:pt>
                <c:pt idx="13">
                  <c:v>7.666666666666667</c:v>
                </c:pt>
                <c:pt idx="14">
                  <c:v>0</c:v>
                </c:pt>
                <c:pt idx="15">
                  <c:v>0</c:v>
                </c:pt>
                <c:pt idx="16">
                  <c:v>36</c:v>
                </c:pt>
                <c:pt idx="17">
                  <c:v>1.7603340698659053</c:v>
                </c:pt>
                <c:pt idx="18">
                  <c:v>0</c:v>
                </c:pt>
              </c:numCache>
            </c:numRef>
          </c:xVal>
          <c:yVal>
            <c:numRef>
              <c:f>'Úroveň zpracování'!$AR$2:$AR$20</c:f>
              <c:numCache>
                <c:formatCode>General</c:formatCode>
                <c:ptCount val="19"/>
                <c:pt idx="0">
                  <c:v>0</c:v>
                </c:pt>
                <c:pt idx="1">
                  <c:v>1.1304255319148941</c:v>
                </c:pt>
                <c:pt idx="2">
                  <c:v>15</c:v>
                </c:pt>
                <c:pt idx="3">
                  <c:v>1.44</c:v>
                </c:pt>
                <c:pt idx="4">
                  <c:v>0</c:v>
                </c:pt>
                <c:pt idx="5">
                  <c:v>1.276923076923077</c:v>
                </c:pt>
                <c:pt idx="6">
                  <c:v>2.2727272727272809</c:v>
                </c:pt>
                <c:pt idx="7">
                  <c:v>1.1764705882352966</c:v>
                </c:pt>
                <c:pt idx="8">
                  <c:v>0</c:v>
                </c:pt>
                <c:pt idx="9">
                  <c:v>1.0342950817423273</c:v>
                </c:pt>
                <c:pt idx="10">
                  <c:v>2.2503526385175818</c:v>
                </c:pt>
                <c:pt idx="11">
                  <c:v>1.075</c:v>
                </c:pt>
                <c:pt idx="12">
                  <c:v>1.1000000000000001</c:v>
                </c:pt>
                <c:pt idx="13">
                  <c:v>17</c:v>
                </c:pt>
                <c:pt idx="14">
                  <c:v>0</c:v>
                </c:pt>
                <c:pt idx="15">
                  <c:v>0</c:v>
                </c:pt>
                <c:pt idx="16">
                  <c:v>36</c:v>
                </c:pt>
                <c:pt idx="17">
                  <c:v>2.3686013257586267</c:v>
                </c:pt>
                <c:pt idx="18">
                  <c:v>0</c:v>
                </c:pt>
              </c:numCache>
            </c:numRef>
          </c:yVal>
          <c:smooth val="0"/>
        </c:ser>
        <c:dLbls>
          <c:showLegendKey val="0"/>
          <c:showVal val="0"/>
          <c:showCatName val="0"/>
          <c:showSerName val="0"/>
          <c:showPercent val="0"/>
          <c:showBubbleSize val="0"/>
        </c:dLbls>
        <c:axId val="195987528"/>
        <c:axId val="195987920"/>
      </c:scatterChart>
      <c:valAx>
        <c:axId val="195987528"/>
        <c:scaling>
          <c:orientation val="minMax"/>
        </c:scaling>
        <c:delete val="0"/>
        <c:axPos val="b"/>
        <c:numFmt formatCode="General" sourceLinked="1"/>
        <c:majorTickMark val="out"/>
        <c:minorTickMark val="none"/>
        <c:tickLblPos val="nextTo"/>
        <c:crossAx val="195987920"/>
        <c:crosses val="autoZero"/>
        <c:crossBetween val="midCat"/>
      </c:valAx>
      <c:valAx>
        <c:axId val="195987920"/>
        <c:scaling>
          <c:orientation val="minMax"/>
        </c:scaling>
        <c:delete val="0"/>
        <c:axPos val="l"/>
        <c:majorGridlines/>
        <c:numFmt formatCode="General" sourceLinked="1"/>
        <c:majorTickMark val="out"/>
        <c:minorTickMark val="none"/>
        <c:tickLblPos val="nextTo"/>
        <c:crossAx val="195987528"/>
        <c:crosses val="autoZero"/>
        <c:crossBetween val="midCat"/>
      </c:valAx>
    </c:plotArea>
    <c:plotVisOnly val="1"/>
    <c:dispBlanksAs val="gap"/>
    <c:showDLblsOverMax val="0"/>
  </c:chart>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zpracování'!$AQ$2:$AQ$42</c:f>
              <c:numCache>
                <c:formatCode>General</c:formatCode>
                <c:ptCount val="41"/>
                <c:pt idx="0">
                  <c:v>0</c:v>
                </c:pt>
                <c:pt idx="1">
                  <c:v>1.05</c:v>
                </c:pt>
                <c:pt idx="2">
                  <c:v>5.9090909090909092</c:v>
                </c:pt>
                <c:pt idx="3">
                  <c:v>1.2</c:v>
                </c:pt>
                <c:pt idx="4">
                  <c:v>0</c:v>
                </c:pt>
                <c:pt idx="5">
                  <c:v>1.1105769230769262</c:v>
                </c:pt>
                <c:pt idx="6">
                  <c:v>1.8181818181818181</c:v>
                </c:pt>
                <c:pt idx="7">
                  <c:v>1.1764705882352966</c:v>
                </c:pt>
                <c:pt idx="8">
                  <c:v>0</c:v>
                </c:pt>
                <c:pt idx="9">
                  <c:v>1.0342950817423273</c:v>
                </c:pt>
                <c:pt idx="10">
                  <c:v>1.4688822394440932</c:v>
                </c:pt>
                <c:pt idx="11">
                  <c:v>1.05</c:v>
                </c:pt>
                <c:pt idx="12">
                  <c:v>1.1000000000000001</c:v>
                </c:pt>
                <c:pt idx="13">
                  <c:v>7.666666666666667</c:v>
                </c:pt>
                <c:pt idx="14">
                  <c:v>0</c:v>
                </c:pt>
                <c:pt idx="15">
                  <c:v>0</c:v>
                </c:pt>
                <c:pt idx="16">
                  <c:v>36</c:v>
                </c:pt>
                <c:pt idx="17">
                  <c:v>1.7603340698659053</c:v>
                </c:pt>
                <c:pt idx="18">
                  <c:v>0</c:v>
                </c:pt>
                <c:pt idx="19">
                  <c:v>7</c:v>
                </c:pt>
                <c:pt idx="20">
                  <c:v>0</c:v>
                </c:pt>
                <c:pt idx="21">
                  <c:v>1.3636363636363635</c:v>
                </c:pt>
                <c:pt idx="22">
                  <c:v>1.5</c:v>
                </c:pt>
                <c:pt idx="23">
                  <c:v>0</c:v>
                </c:pt>
                <c:pt idx="24">
                  <c:v>0</c:v>
                </c:pt>
                <c:pt idx="25">
                  <c:v>0</c:v>
                </c:pt>
                <c:pt idx="26">
                  <c:v>1.2857142857142823</c:v>
                </c:pt>
                <c:pt idx="27">
                  <c:v>0</c:v>
                </c:pt>
                <c:pt idx="28">
                  <c:v>3</c:v>
                </c:pt>
                <c:pt idx="29">
                  <c:v>2</c:v>
                </c:pt>
                <c:pt idx="30">
                  <c:v>2.3278008298755188</c:v>
                </c:pt>
                <c:pt idx="31">
                  <c:v>0</c:v>
                </c:pt>
                <c:pt idx="32">
                  <c:v>0</c:v>
                </c:pt>
                <c:pt idx="33">
                  <c:v>1.5</c:v>
                </c:pt>
                <c:pt idx="34">
                  <c:v>1.375</c:v>
                </c:pt>
                <c:pt idx="35">
                  <c:v>2</c:v>
                </c:pt>
                <c:pt idx="36">
                  <c:v>1</c:v>
                </c:pt>
                <c:pt idx="37">
                  <c:v>0</c:v>
                </c:pt>
                <c:pt idx="38">
                  <c:v>0</c:v>
                </c:pt>
                <c:pt idx="39">
                  <c:v>0</c:v>
                </c:pt>
                <c:pt idx="40">
                  <c:v>3.4721878862793591</c:v>
                </c:pt>
              </c:numCache>
            </c:numRef>
          </c:xVal>
          <c:yVal>
            <c:numRef>
              <c:f>'Úroveň zpracování'!$AR$2:$AR$42</c:f>
              <c:numCache>
                <c:formatCode>General</c:formatCode>
                <c:ptCount val="41"/>
                <c:pt idx="0">
                  <c:v>0</c:v>
                </c:pt>
                <c:pt idx="1">
                  <c:v>1.1304255319148941</c:v>
                </c:pt>
                <c:pt idx="2">
                  <c:v>15</c:v>
                </c:pt>
                <c:pt idx="3">
                  <c:v>1.44</c:v>
                </c:pt>
                <c:pt idx="4">
                  <c:v>0</c:v>
                </c:pt>
                <c:pt idx="5">
                  <c:v>1.276923076923077</c:v>
                </c:pt>
                <c:pt idx="6">
                  <c:v>2.2727272727272809</c:v>
                </c:pt>
                <c:pt idx="7">
                  <c:v>1.1764705882352966</c:v>
                </c:pt>
                <c:pt idx="8">
                  <c:v>0</c:v>
                </c:pt>
                <c:pt idx="9">
                  <c:v>1.0342950817423273</c:v>
                </c:pt>
                <c:pt idx="10">
                  <c:v>2.2503526385175818</c:v>
                </c:pt>
                <c:pt idx="11">
                  <c:v>1.075</c:v>
                </c:pt>
                <c:pt idx="12">
                  <c:v>1.1000000000000001</c:v>
                </c:pt>
                <c:pt idx="13">
                  <c:v>17</c:v>
                </c:pt>
                <c:pt idx="14">
                  <c:v>0</c:v>
                </c:pt>
                <c:pt idx="15">
                  <c:v>0</c:v>
                </c:pt>
                <c:pt idx="16">
                  <c:v>36</c:v>
                </c:pt>
                <c:pt idx="17">
                  <c:v>2.3686013257586267</c:v>
                </c:pt>
                <c:pt idx="18">
                  <c:v>0</c:v>
                </c:pt>
                <c:pt idx="19">
                  <c:v>7</c:v>
                </c:pt>
                <c:pt idx="20">
                  <c:v>0</c:v>
                </c:pt>
                <c:pt idx="21">
                  <c:v>1.7272727272727273</c:v>
                </c:pt>
                <c:pt idx="22">
                  <c:v>1.9000000000000001</c:v>
                </c:pt>
                <c:pt idx="23">
                  <c:v>0</c:v>
                </c:pt>
                <c:pt idx="24">
                  <c:v>0</c:v>
                </c:pt>
                <c:pt idx="25">
                  <c:v>0</c:v>
                </c:pt>
                <c:pt idx="26">
                  <c:v>2.4285714285714342</c:v>
                </c:pt>
                <c:pt idx="27">
                  <c:v>0</c:v>
                </c:pt>
                <c:pt idx="28">
                  <c:v>7</c:v>
                </c:pt>
                <c:pt idx="29">
                  <c:v>2.6</c:v>
                </c:pt>
                <c:pt idx="30">
                  <c:v>3.8278008298755188</c:v>
                </c:pt>
                <c:pt idx="31">
                  <c:v>0</c:v>
                </c:pt>
                <c:pt idx="32">
                  <c:v>0</c:v>
                </c:pt>
                <c:pt idx="33">
                  <c:v>1.75</c:v>
                </c:pt>
                <c:pt idx="34">
                  <c:v>1.875</c:v>
                </c:pt>
                <c:pt idx="35">
                  <c:v>3</c:v>
                </c:pt>
                <c:pt idx="36">
                  <c:v>1</c:v>
                </c:pt>
                <c:pt idx="37">
                  <c:v>0</c:v>
                </c:pt>
                <c:pt idx="38">
                  <c:v>0</c:v>
                </c:pt>
                <c:pt idx="39">
                  <c:v>0</c:v>
                </c:pt>
                <c:pt idx="40">
                  <c:v>3.8430160692212607</c:v>
                </c:pt>
              </c:numCache>
            </c:numRef>
          </c:yVal>
          <c:smooth val="0"/>
        </c:ser>
        <c:dLbls>
          <c:showLegendKey val="0"/>
          <c:showVal val="0"/>
          <c:showCatName val="0"/>
          <c:showSerName val="0"/>
          <c:showPercent val="0"/>
          <c:showBubbleSize val="0"/>
        </c:dLbls>
        <c:axId val="195988704"/>
        <c:axId val="191241824"/>
      </c:scatterChart>
      <c:valAx>
        <c:axId val="195988704"/>
        <c:scaling>
          <c:orientation val="minMax"/>
        </c:scaling>
        <c:delete val="0"/>
        <c:axPos val="b"/>
        <c:numFmt formatCode="General" sourceLinked="1"/>
        <c:majorTickMark val="out"/>
        <c:minorTickMark val="none"/>
        <c:tickLblPos val="nextTo"/>
        <c:crossAx val="191241824"/>
        <c:crosses val="autoZero"/>
        <c:crossBetween val="midCat"/>
      </c:valAx>
      <c:valAx>
        <c:axId val="191241824"/>
        <c:scaling>
          <c:orientation val="minMax"/>
        </c:scaling>
        <c:delete val="0"/>
        <c:axPos val="l"/>
        <c:majorGridlines/>
        <c:numFmt formatCode="General" sourceLinked="1"/>
        <c:majorTickMark val="out"/>
        <c:minorTickMark val="none"/>
        <c:tickLblPos val="nextTo"/>
        <c:crossAx val="195988704"/>
        <c:crosses val="autoZero"/>
        <c:crossBetween val="midCat"/>
      </c:valAx>
    </c:plotArea>
    <c:plotVisOnly val="1"/>
    <c:dispBlanksAs val="gap"/>
    <c:showDLblsOverMax val="0"/>
  </c:chart>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zpracování'!$AK$2:$AK$6</c:f>
              <c:numCache>
                <c:formatCode>General</c:formatCode>
                <c:ptCount val="5"/>
                <c:pt idx="0">
                  <c:v>1.2285714285714286</c:v>
                </c:pt>
                <c:pt idx="1">
                  <c:v>0</c:v>
                </c:pt>
                <c:pt idx="2">
                  <c:v>1.9188361408882109</c:v>
                </c:pt>
                <c:pt idx="3">
                  <c:v>1.3513949031168002</c:v>
                </c:pt>
                <c:pt idx="4">
                  <c:v>1</c:v>
                </c:pt>
              </c:numCache>
            </c:numRef>
          </c:xVal>
          <c:yVal>
            <c:numRef>
              <c:f>'Úroveň zpracování'!$AL$2:$AL$6</c:f>
              <c:numCache>
                <c:formatCode>General</c:formatCode>
                <c:ptCount val="5"/>
                <c:pt idx="0">
                  <c:v>1.5714285714285721</c:v>
                </c:pt>
                <c:pt idx="1">
                  <c:v>0</c:v>
                </c:pt>
                <c:pt idx="2">
                  <c:v>3.4502297090352188</c:v>
                </c:pt>
                <c:pt idx="3">
                  <c:v>1.8506489960664811</c:v>
                </c:pt>
                <c:pt idx="4">
                  <c:v>1</c:v>
                </c:pt>
              </c:numCache>
            </c:numRef>
          </c:yVal>
          <c:smooth val="0"/>
        </c:ser>
        <c:dLbls>
          <c:showLegendKey val="0"/>
          <c:showVal val="0"/>
          <c:showCatName val="0"/>
          <c:showSerName val="0"/>
          <c:showPercent val="0"/>
          <c:showBubbleSize val="0"/>
        </c:dLbls>
        <c:axId val="191242608"/>
        <c:axId val="191243000"/>
      </c:scatterChart>
      <c:valAx>
        <c:axId val="191242608"/>
        <c:scaling>
          <c:orientation val="minMax"/>
        </c:scaling>
        <c:delete val="0"/>
        <c:axPos val="b"/>
        <c:numFmt formatCode="General" sourceLinked="1"/>
        <c:majorTickMark val="out"/>
        <c:minorTickMark val="none"/>
        <c:tickLblPos val="nextTo"/>
        <c:crossAx val="191243000"/>
        <c:crosses val="autoZero"/>
        <c:crossBetween val="midCat"/>
      </c:valAx>
      <c:valAx>
        <c:axId val="191243000"/>
        <c:scaling>
          <c:orientation val="minMax"/>
        </c:scaling>
        <c:delete val="0"/>
        <c:axPos val="l"/>
        <c:majorGridlines/>
        <c:numFmt formatCode="General" sourceLinked="1"/>
        <c:majorTickMark val="out"/>
        <c:minorTickMark val="none"/>
        <c:tickLblPos val="nextTo"/>
        <c:crossAx val="191242608"/>
        <c:crosses val="autoZero"/>
        <c:crossBetween val="midCat"/>
      </c:valAx>
    </c:plotArea>
    <c:plotVisOnly val="1"/>
    <c:dispBlanksAs val="gap"/>
    <c:showDLblsOverMax val="0"/>
  </c:chart>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zpracování'!$AK$2:$AK$20</c:f>
              <c:numCache>
                <c:formatCode>General</c:formatCode>
                <c:ptCount val="19"/>
                <c:pt idx="0">
                  <c:v>1.2285714285714286</c:v>
                </c:pt>
                <c:pt idx="1">
                  <c:v>0</c:v>
                </c:pt>
                <c:pt idx="2">
                  <c:v>1.9188361408882109</c:v>
                </c:pt>
                <c:pt idx="3">
                  <c:v>1.3513949031168002</c:v>
                </c:pt>
                <c:pt idx="4">
                  <c:v>1</c:v>
                </c:pt>
                <c:pt idx="5">
                  <c:v>1.1428571428571441</c:v>
                </c:pt>
                <c:pt idx="6">
                  <c:v>1.3513513513513513</c:v>
                </c:pt>
                <c:pt idx="7">
                  <c:v>1</c:v>
                </c:pt>
                <c:pt idx="8">
                  <c:v>1.3333333333333333</c:v>
                </c:pt>
                <c:pt idx="9">
                  <c:v>1</c:v>
                </c:pt>
                <c:pt idx="10">
                  <c:v>1</c:v>
                </c:pt>
                <c:pt idx="11">
                  <c:v>1</c:v>
                </c:pt>
                <c:pt idx="12">
                  <c:v>1.2</c:v>
                </c:pt>
                <c:pt idx="13">
                  <c:v>1.0714285714285721</c:v>
                </c:pt>
                <c:pt idx="14">
                  <c:v>0.9</c:v>
                </c:pt>
                <c:pt idx="15">
                  <c:v>0</c:v>
                </c:pt>
                <c:pt idx="16">
                  <c:v>1.6666666666666667</c:v>
                </c:pt>
                <c:pt idx="17">
                  <c:v>2.4060742407199154</c:v>
                </c:pt>
                <c:pt idx="18">
                  <c:v>0</c:v>
                </c:pt>
              </c:numCache>
            </c:numRef>
          </c:xVal>
          <c:yVal>
            <c:numRef>
              <c:f>'Úroveň zpracování'!$AL$2:$AL$20</c:f>
              <c:numCache>
                <c:formatCode>General</c:formatCode>
                <c:ptCount val="19"/>
                <c:pt idx="0">
                  <c:v>1.5714285714285721</c:v>
                </c:pt>
                <c:pt idx="1">
                  <c:v>0</c:v>
                </c:pt>
                <c:pt idx="2">
                  <c:v>3.4502297090352188</c:v>
                </c:pt>
                <c:pt idx="3">
                  <c:v>1.8506489960664811</c:v>
                </c:pt>
                <c:pt idx="4">
                  <c:v>1</c:v>
                </c:pt>
                <c:pt idx="5">
                  <c:v>1.3142857142857172</c:v>
                </c:pt>
                <c:pt idx="6">
                  <c:v>1.7702702702702702</c:v>
                </c:pt>
                <c:pt idx="7">
                  <c:v>1</c:v>
                </c:pt>
                <c:pt idx="8">
                  <c:v>1.3333333333333333</c:v>
                </c:pt>
                <c:pt idx="9">
                  <c:v>1</c:v>
                </c:pt>
                <c:pt idx="10">
                  <c:v>1</c:v>
                </c:pt>
                <c:pt idx="11">
                  <c:v>1</c:v>
                </c:pt>
                <c:pt idx="12">
                  <c:v>1.2</c:v>
                </c:pt>
                <c:pt idx="13">
                  <c:v>0.77380952380952572</c:v>
                </c:pt>
                <c:pt idx="14">
                  <c:v>0.8</c:v>
                </c:pt>
                <c:pt idx="15">
                  <c:v>0</c:v>
                </c:pt>
                <c:pt idx="16">
                  <c:v>1.6666666666666667</c:v>
                </c:pt>
                <c:pt idx="17">
                  <c:v>1.6026032460228186</c:v>
                </c:pt>
                <c:pt idx="18">
                  <c:v>0</c:v>
                </c:pt>
              </c:numCache>
            </c:numRef>
          </c:yVal>
          <c:smooth val="0"/>
        </c:ser>
        <c:dLbls>
          <c:showLegendKey val="0"/>
          <c:showVal val="0"/>
          <c:showCatName val="0"/>
          <c:showSerName val="0"/>
          <c:showPercent val="0"/>
          <c:showBubbleSize val="0"/>
        </c:dLbls>
        <c:axId val="363356192"/>
        <c:axId val="363356584"/>
      </c:scatterChart>
      <c:valAx>
        <c:axId val="363356192"/>
        <c:scaling>
          <c:orientation val="minMax"/>
        </c:scaling>
        <c:delete val="0"/>
        <c:axPos val="b"/>
        <c:numFmt formatCode="General" sourceLinked="1"/>
        <c:majorTickMark val="out"/>
        <c:minorTickMark val="none"/>
        <c:tickLblPos val="nextTo"/>
        <c:crossAx val="363356584"/>
        <c:crosses val="autoZero"/>
        <c:crossBetween val="midCat"/>
      </c:valAx>
      <c:valAx>
        <c:axId val="363356584"/>
        <c:scaling>
          <c:orientation val="minMax"/>
        </c:scaling>
        <c:delete val="0"/>
        <c:axPos val="l"/>
        <c:majorGridlines/>
        <c:numFmt formatCode="General" sourceLinked="1"/>
        <c:majorTickMark val="out"/>
        <c:minorTickMark val="none"/>
        <c:tickLblPos val="nextTo"/>
        <c:crossAx val="363356192"/>
        <c:crosses val="autoZero"/>
        <c:crossBetween val="midCat"/>
      </c:valAx>
    </c:plotArea>
    <c:plotVisOnly val="1"/>
    <c:dispBlanksAs val="gap"/>
    <c:showDLblsOverMax val="0"/>
  </c:chart>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zpracování'!$AK$2:$AK$42</c:f>
              <c:numCache>
                <c:formatCode>General</c:formatCode>
                <c:ptCount val="41"/>
                <c:pt idx="0">
                  <c:v>1.2285714285714286</c:v>
                </c:pt>
                <c:pt idx="1">
                  <c:v>0</c:v>
                </c:pt>
                <c:pt idx="2">
                  <c:v>1.9188361408882109</c:v>
                </c:pt>
                <c:pt idx="3">
                  <c:v>1.3513949031168002</c:v>
                </c:pt>
                <c:pt idx="4">
                  <c:v>1</c:v>
                </c:pt>
                <c:pt idx="5">
                  <c:v>1.1428571428571441</c:v>
                </c:pt>
                <c:pt idx="6">
                  <c:v>1.3513513513513513</c:v>
                </c:pt>
                <c:pt idx="7">
                  <c:v>1</c:v>
                </c:pt>
                <c:pt idx="8">
                  <c:v>1.3333333333333333</c:v>
                </c:pt>
                <c:pt idx="9">
                  <c:v>1</c:v>
                </c:pt>
                <c:pt idx="10">
                  <c:v>1</c:v>
                </c:pt>
                <c:pt idx="11">
                  <c:v>1</c:v>
                </c:pt>
                <c:pt idx="12">
                  <c:v>1.2</c:v>
                </c:pt>
                <c:pt idx="13">
                  <c:v>1.0714285714285721</c:v>
                </c:pt>
                <c:pt idx="14">
                  <c:v>0.9</c:v>
                </c:pt>
                <c:pt idx="15">
                  <c:v>0</c:v>
                </c:pt>
                <c:pt idx="16">
                  <c:v>1.6666666666666667</c:v>
                </c:pt>
                <c:pt idx="17">
                  <c:v>2.4060742407199154</c:v>
                </c:pt>
                <c:pt idx="18">
                  <c:v>0</c:v>
                </c:pt>
                <c:pt idx="19">
                  <c:v>3.5</c:v>
                </c:pt>
                <c:pt idx="20">
                  <c:v>2.1661999999999999</c:v>
                </c:pt>
                <c:pt idx="21">
                  <c:v>1.5</c:v>
                </c:pt>
                <c:pt idx="22">
                  <c:v>1.8955223880597014</c:v>
                </c:pt>
                <c:pt idx="23">
                  <c:v>0</c:v>
                </c:pt>
                <c:pt idx="24">
                  <c:v>1.1499999999999972</c:v>
                </c:pt>
                <c:pt idx="25">
                  <c:v>1.1197530864197531</c:v>
                </c:pt>
                <c:pt idx="26">
                  <c:v>0</c:v>
                </c:pt>
                <c:pt idx="27">
                  <c:v>1.2</c:v>
                </c:pt>
                <c:pt idx="28">
                  <c:v>3</c:v>
                </c:pt>
                <c:pt idx="29">
                  <c:v>1</c:v>
                </c:pt>
                <c:pt idx="30">
                  <c:v>0</c:v>
                </c:pt>
                <c:pt idx="31">
                  <c:v>1</c:v>
                </c:pt>
                <c:pt idx="32">
                  <c:v>0</c:v>
                </c:pt>
                <c:pt idx="33">
                  <c:v>2.0405405405405412</c:v>
                </c:pt>
                <c:pt idx="34">
                  <c:v>1.4285714285714286</c:v>
                </c:pt>
                <c:pt idx="35">
                  <c:v>1.4545454545454546</c:v>
                </c:pt>
                <c:pt idx="36">
                  <c:v>1</c:v>
                </c:pt>
                <c:pt idx="37">
                  <c:v>1.326797385620915</c:v>
                </c:pt>
                <c:pt idx="38">
                  <c:v>1.3333333333333333</c:v>
                </c:pt>
                <c:pt idx="39">
                  <c:v>0</c:v>
                </c:pt>
                <c:pt idx="40">
                  <c:v>1.785066294487087</c:v>
                </c:pt>
              </c:numCache>
            </c:numRef>
          </c:xVal>
          <c:yVal>
            <c:numRef>
              <c:f>'Úroveň zpracování'!$AL$2:$AL$42</c:f>
              <c:numCache>
                <c:formatCode>General</c:formatCode>
                <c:ptCount val="41"/>
                <c:pt idx="0">
                  <c:v>1.5714285714285721</c:v>
                </c:pt>
                <c:pt idx="1">
                  <c:v>0</c:v>
                </c:pt>
                <c:pt idx="2">
                  <c:v>3.4502297090352188</c:v>
                </c:pt>
                <c:pt idx="3">
                  <c:v>1.8506489960664811</c:v>
                </c:pt>
                <c:pt idx="4">
                  <c:v>1</c:v>
                </c:pt>
                <c:pt idx="5">
                  <c:v>1.3142857142857172</c:v>
                </c:pt>
                <c:pt idx="6">
                  <c:v>1.7702702702702702</c:v>
                </c:pt>
                <c:pt idx="7">
                  <c:v>1</c:v>
                </c:pt>
                <c:pt idx="8">
                  <c:v>1.3333333333333333</c:v>
                </c:pt>
                <c:pt idx="9">
                  <c:v>1</c:v>
                </c:pt>
                <c:pt idx="10">
                  <c:v>1</c:v>
                </c:pt>
                <c:pt idx="11">
                  <c:v>1</c:v>
                </c:pt>
                <c:pt idx="12">
                  <c:v>1.2</c:v>
                </c:pt>
                <c:pt idx="13">
                  <c:v>0.77380952380952572</c:v>
                </c:pt>
                <c:pt idx="14">
                  <c:v>0.8</c:v>
                </c:pt>
                <c:pt idx="15">
                  <c:v>0</c:v>
                </c:pt>
                <c:pt idx="16">
                  <c:v>1.6666666666666667</c:v>
                </c:pt>
                <c:pt idx="17">
                  <c:v>1.6026032460228186</c:v>
                </c:pt>
                <c:pt idx="18">
                  <c:v>0</c:v>
                </c:pt>
                <c:pt idx="19">
                  <c:v>3.5</c:v>
                </c:pt>
                <c:pt idx="20">
                  <c:v>3.4511999999999987</c:v>
                </c:pt>
                <c:pt idx="21">
                  <c:v>2</c:v>
                </c:pt>
                <c:pt idx="22">
                  <c:v>2.4925373134328357</c:v>
                </c:pt>
                <c:pt idx="23">
                  <c:v>0</c:v>
                </c:pt>
                <c:pt idx="24">
                  <c:v>1.3833333333333333</c:v>
                </c:pt>
                <c:pt idx="25">
                  <c:v>1.1913580246913633</c:v>
                </c:pt>
                <c:pt idx="26">
                  <c:v>0</c:v>
                </c:pt>
                <c:pt idx="27">
                  <c:v>3.2</c:v>
                </c:pt>
                <c:pt idx="28">
                  <c:v>7</c:v>
                </c:pt>
                <c:pt idx="29">
                  <c:v>1</c:v>
                </c:pt>
                <c:pt idx="30">
                  <c:v>0</c:v>
                </c:pt>
                <c:pt idx="31">
                  <c:v>1</c:v>
                </c:pt>
                <c:pt idx="32">
                  <c:v>0</c:v>
                </c:pt>
                <c:pt idx="33">
                  <c:v>2.2702702702702702</c:v>
                </c:pt>
                <c:pt idx="34">
                  <c:v>2</c:v>
                </c:pt>
                <c:pt idx="35">
                  <c:v>1.9090909090909101</c:v>
                </c:pt>
                <c:pt idx="36">
                  <c:v>1</c:v>
                </c:pt>
                <c:pt idx="37">
                  <c:v>1.522875816993464</c:v>
                </c:pt>
                <c:pt idx="38">
                  <c:v>1.6666666666666667</c:v>
                </c:pt>
                <c:pt idx="39">
                  <c:v>0</c:v>
                </c:pt>
                <c:pt idx="40">
                  <c:v>1.8897418004187021</c:v>
                </c:pt>
              </c:numCache>
            </c:numRef>
          </c:yVal>
          <c:smooth val="0"/>
        </c:ser>
        <c:dLbls>
          <c:showLegendKey val="0"/>
          <c:showVal val="0"/>
          <c:showCatName val="0"/>
          <c:showSerName val="0"/>
          <c:showPercent val="0"/>
          <c:showBubbleSize val="0"/>
        </c:dLbls>
        <c:axId val="363357368"/>
        <c:axId val="363357760"/>
      </c:scatterChart>
      <c:valAx>
        <c:axId val="363357368"/>
        <c:scaling>
          <c:orientation val="minMax"/>
        </c:scaling>
        <c:delete val="0"/>
        <c:axPos val="b"/>
        <c:numFmt formatCode="General" sourceLinked="1"/>
        <c:majorTickMark val="out"/>
        <c:minorTickMark val="none"/>
        <c:tickLblPos val="nextTo"/>
        <c:crossAx val="363357760"/>
        <c:crosses val="autoZero"/>
        <c:crossBetween val="midCat"/>
      </c:valAx>
      <c:valAx>
        <c:axId val="363357760"/>
        <c:scaling>
          <c:orientation val="minMax"/>
        </c:scaling>
        <c:delete val="0"/>
        <c:axPos val="l"/>
        <c:majorGridlines/>
        <c:numFmt formatCode="General" sourceLinked="1"/>
        <c:majorTickMark val="out"/>
        <c:minorTickMark val="none"/>
        <c:tickLblPos val="nextTo"/>
        <c:crossAx val="363357368"/>
        <c:crosses val="autoZero"/>
        <c:crossBetween val="midCat"/>
      </c:valAx>
    </c:plotArea>
    <c:plotVisOnly val="1"/>
    <c:dispBlanksAs val="gap"/>
    <c:showDLblsOverMax val="0"/>
  </c:chart>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1238407699037627E-2"/>
          <c:y val="5.6030183727034118E-2"/>
          <c:w val="0.77101312335958294"/>
          <c:h val="0.8326195683872849"/>
        </c:manualLayout>
      </c:layout>
      <c:scatterChart>
        <c:scatterStyle val="lineMarker"/>
        <c:varyColors val="0"/>
        <c:ser>
          <c:idx val="0"/>
          <c:order val="0"/>
          <c:spPr>
            <a:ln w="28575">
              <a:noFill/>
            </a:ln>
          </c:spPr>
          <c:xVal>
            <c:numRef>
              <c:f>'Úroveň zpracování'!$AE$2:$AE$6</c:f>
              <c:numCache>
                <c:formatCode>General</c:formatCode>
                <c:ptCount val="5"/>
                <c:pt idx="0">
                  <c:v>1.2267573696145151</c:v>
                </c:pt>
                <c:pt idx="1">
                  <c:v>0</c:v>
                </c:pt>
                <c:pt idx="2">
                  <c:v>2.4888337468982642</c:v>
                </c:pt>
                <c:pt idx="3">
                  <c:v>1.2903225806451613</c:v>
                </c:pt>
                <c:pt idx="4">
                  <c:v>0</c:v>
                </c:pt>
              </c:numCache>
            </c:numRef>
          </c:xVal>
          <c:yVal>
            <c:numRef>
              <c:f>'Úroveň zpracování'!$AF$2:$AF$6</c:f>
              <c:numCache>
                <c:formatCode>General</c:formatCode>
                <c:ptCount val="5"/>
                <c:pt idx="0">
                  <c:v>1.5668934240362835</c:v>
                </c:pt>
                <c:pt idx="1">
                  <c:v>0</c:v>
                </c:pt>
                <c:pt idx="2">
                  <c:v>4.9702233250620571</c:v>
                </c:pt>
                <c:pt idx="3">
                  <c:v>1.5728960257996858</c:v>
                </c:pt>
                <c:pt idx="4">
                  <c:v>0</c:v>
                </c:pt>
              </c:numCache>
            </c:numRef>
          </c:yVal>
          <c:smooth val="0"/>
        </c:ser>
        <c:dLbls>
          <c:showLegendKey val="0"/>
          <c:showVal val="0"/>
          <c:showCatName val="0"/>
          <c:showSerName val="0"/>
          <c:showPercent val="0"/>
          <c:showBubbleSize val="0"/>
        </c:dLbls>
        <c:axId val="145361336"/>
        <c:axId val="145361728"/>
      </c:scatterChart>
      <c:valAx>
        <c:axId val="145361336"/>
        <c:scaling>
          <c:orientation val="minMax"/>
        </c:scaling>
        <c:delete val="0"/>
        <c:axPos val="b"/>
        <c:numFmt formatCode="General" sourceLinked="1"/>
        <c:majorTickMark val="out"/>
        <c:minorTickMark val="none"/>
        <c:tickLblPos val="nextTo"/>
        <c:crossAx val="145361728"/>
        <c:crosses val="autoZero"/>
        <c:crossBetween val="midCat"/>
      </c:valAx>
      <c:valAx>
        <c:axId val="145361728"/>
        <c:scaling>
          <c:orientation val="minMax"/>
        </c:scaling>
        <c:delete val="0"/>
        <c:axPos val="l"/>
        <c:majorGridlines/>
        <c:numFmt formatCode="General" sourceLinked="1"/>
        <c:majorTickMark val="out"/>
        <c:minorTickMark val="none"/>
        <c:tickLblPos val="nextTo"/>
        <c:crossAx val="145361336"/>
        <c:crosses val="autoZero"/>
        <c:crossBetween val="midCat"/>
      </c:valAx>
    </c:plotArea>
    <c:plotVisOnly val="1"/>
    <c:dispBlanksAs val="gap"/>
    <c:showDLblsOverMax val="0"/>
  </c:chart>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1238407699037627E-2"/>
          <c:y val="5.6030183727034118E-2"/>
          <c:w val="0.77101312335958294"/>
          <c:h val="0.8326195683872849"/>
        </c:manualLayout>
      </c:layout>
      <c:scatterChart>
        <c:scatterStyle val="lineMarker"/>
        <c:varyColors val="0"/>
        <c:ser>
          <c:idx val="0"/>
          <c:order val="0"/>
          <c:spPr>
            <a:ln w="28575">
              <a:noFill/>
            </a:ln>
          </c:spPr>
          <c:xVal>
            <c:numRef>
              <c:f>'Úroveň zpracování'!$AE$2:$AE$20</c:f>
              <c:numCache>
                <c:formatCode>General</c:formatCode>
                <c:ptCount val="19"/>
                <c:pt idx="0">
                  <c:v>1.2267573696145151</c:v>
                </c:pt>
                <c:pt idx="1">
                  <c:v>0</c:v>
                </c:pt>
                <c:pt idx="2">
                  <c:v>2.4888337468982642</c:v>
                </c:pt>
                <c:pt idx="3">
                  <c:v>1.2903225806451613</c:v>
                </c:pt>
                <c:pt idx="4">
                  <c:v>0</c:v>
                </c:pt>
                <c:pt idx="5">
                  <c:v>1.145631067961165</c:v>
                </c:pt>
                <c:pt idx="6">
                  <c:v>3</c:v>
                </c:pt>
                <c:pt idx="7">
                  <c:v>1.3333333333333333</c:v>
                </c:pt>
                <c:pt idx="8">
                  <c:v>1</c:v>
                </c:pt>
                <c:pt idx="9">
                  <c:v>1.2012072434607646</c:v>
                </c:pt>
                <c:pt idx="10">
                  <c:v>0</c:v>
                </c:pt>
                <c:pt idx="11">
                  <c:v>1.0249999999999972</c:v>
                </c:pt>
                <c:pt idx="12">
                  <c:v>1.4285714285714286</c:v>
                </c:pt>
                <c:pt idx="13">
                  <c:v>3.5</c:v>
                </c:pt>
                <c:pt idx="14">
                  <c:v>0.9</c:v>
                </c:pt>
                <c:pt idx="15">
                  <c:v>0</c:v>
                </c:pt>
                <c:pt idx="16">
                  <c:v>1.8333333333333333</c:v>
                </c:pt>
                <c:pt idx="17">
                  <c:v>2.75</c:v>
                </c:pt>
                <c:pt idx="18">
                  <c:v>0</c:v>
                </c:pt>
              </c:numCache>
            </c:numRef>
          </c:xVal>
          <c:yVal>
            <c:numRef>
              <c:f>'Úroveň zpracování'!$AF$2:$AF$20</c:f>
              <c:numCache>
                <c:formatCode>General</c:formatCode>
                <c:ptCount val="19"/>
                <c:pt idx="0">
                  <c:v>1.5668934240362835</c:v>
                </c:pt>
                <c:pt idx="1">
                  <c:v>0</c:v>
                </c:pt>
                <c:pt idx="2">
                  <c:v>4.9702233250620571</c:v>
                </c:pt>
                <c:pt idx="3">
                  <c:v>1.5728960257996858</c:v>
                </c:pt>
                <c:pt idx="4">
                  <c:v>0</c:v>
                </c:pt>
                <c:pt idx="5">
                  <c:v>1.3203883495145641</c:v>
                </c:pt>
                <c:pt idx="6">
                  <c:v>5</c:v>
                </c:pt>
                <c:pt idx="7">
                  <c:v>1.6666666666666667</c:v>
                </c:pt>
                <c:pt idx="8">
                  <c:v>1</c:v>
                </c:pt>
                <c:pt idx="9">
                  <c:v>1.2012072434607646</c:v>
                </c:pt>
                <c:pt idx="10">
                  <c:v>0</c:v>
                </c:pt>
                <c:pt idx="11">
                  <c:v>1.0249999999999972</c:v>
                </c:pt>
                <c:pt idx="12">
                  <c:v>1.4285714285714286</c:v>
                </c:pt>
                <c:pt idx="13">
                  <c:v>8.5</c:v>
                </c:pt>
                <c:pt idx="14">
                  <c:v>0.8</c:v>
                </c:pt>
                <c:pt idx="15">
                  <c:v>0</c:v>
                </c:pt>
                <c:pt idx="16">
                  <c:v>1.8333333333333333</c:v>
                </c:pt>
                <c:pt idx="17">
                  <c:v>4.5</c:v>
                </c:pt>
                <c:pt idx="18">
                  <c:v>0</c:v>
                </c:pt>
              </c:numCache>
            </c:numRef>
          </c:yVal>
          <c:smooth val="0"/>
        </c:ser>
        <c:dLbls>
          <c:showLegendKey val="0"/>
          <c:showVal val="0"/>
          <c:showCatName val="0"/>
          <c:showSerName val="0"/>
          <c:showPercent val="0"/>
          <c:showBubbleSize val="0"/>
        </c:dLbls>
        <c:axId val="145362512"/>
        <c:axId val="145362904"/>
      </c:scatterChart>
      <c:valAx>
        <c:axId val="145362512"/>
        <c:scaling>
          <c:orientation val="minMax"/>
        </c:scaling>
        <c:delete val="0"/>
        <c:axPos val="b"/>
        <c:numFmt formatCode="General" sourceLinked="1"/>
        <c:majorTickMark val="out"/>
        <c:minorTickMark val="none"/>
        <c:tickLblPos val="nextTo"/>
        <c:crossAx val="145362904"/>
        <c:crosses val="autoZero"/>
        <c:crossBetween val="midCat"/>
      </c:valAx>
      <c:valAx>
        <c:axId val="145362904"/>
        <c:scaling>
          <c:orientation val="minMax"/>
        </c:scaling>
        <c:delete val="0"/>
        <c:axPos val="l"/>
        <c:majorGridlines/>
        <c:numFmt formatCode="General" sourceLinked="1"/>
        <c:majorTickMark val="out"/>
        <c:minorTickMark val="none"/>
        <c:tickLblPos val="nextTo"/>
        <c:crossAx val="145362512"/>
        <c:crosses val="autoZero"/>
        <c:crossBetween val="midCat"/>
      </c:valAx>
    </c:plotArea>
    <c:plotVisOnly val="1"/>
    <c:dispBlanksAs val="gap"/>
    <c:showDLblsOverMax val="0"/>
  </c:chart>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1238407699037627E-2"/>
          <c:y val="5.6030183727034118E-2"/>
          <c:w val="0.77101312335958361"/>
          <c:h val="0.8326195683872849"/>
        </c:manualLayout>
      </c:layout>
      <c:scatterChart>
        <c:scatterStyle val="lineMarker"/>
        <c:varyColors val="0"/>
        <c:ser>
          <c:idx val="0"/>
          <c:order val="0"/>
          <c:spPr>
            <a:ln w="28575">
              <a:noFill/>
            </a:ln>
          </c:spPr>
          <c:xVal>
            <c:numRef>
              <c:f>'Úroveň zpracování'!$AE$2:$AE$42</c:f>
              <c:numCache>
                <c:formatCode>General</c:formatCode>
                <c:ptCount val="41"/>
                <c:pt idx="0">
                  <c:v>1.2267573696145151</c:v>
                </c:pt>
                <c:pt idx="1">
                  <c:v>0</c:v>
                </c:pt>
                <c:pt idx="2">
                  <c:v>2.4888337468982642</c:v>
                </c:pt>
                <c:pt idx="3">
                  <c:v>1.2903225806451613</c:v>
                </c:pt>
                <c:pt idx="4">
                  <c:v>0</c:v>
                </c:pt>
                <c:pt idx="5">
                  <c:v>1.145631067961165</c:v>
                </c:pt>
                <c:pt idx="6">
                  <c:v>3</c:v>
                </c:pt>
                <c:pt idx="7">
                  <c:v>1.3333333333333333</c:v>
                </c:pt>
                <c:pt idx="8">
                  <c:v>1</c:v>
                </c:pt>
                <c:pt idx="9">
                  <c:v>1.2012072434607646</c:v>
                </c:pt>
                <c:pt idx="10">
                  <c:v>0</c:v>
                </c:pt>
                <c:pt idx="11">
                  <c:v>1.0249999999999972</c:v>
                </c:pt>
                <c:pt idx="12">
                  <c:v>1.4285714285714286</c:v>
                </c:pt>
                <c:pt idx="13">
                  <c:v>3.5</c:v>
                </c:pt>
                <c:pt idx="14">
                  <c:v>0.9</c:v>
                </c:pt>
                <c:pt idx="15">
                  <c:v>0</c:v>
                </c:pt>
                <c:pt idx="16">
                  <c:v>1.8333333333333333</c:v>
                </c:pt>
                <c:pt idx="17">
                  <c:v>2.75</c:v>
                </c:pt>
                <c:pt idx="18">
                  <c:v>0</c:v>
                </c:pt>
                <c:pt idx="19">
                  <c:v>3</c:v>
                </c:pt>
                <c:pt idx="20">
                  <c:v>2.1661999999999999</c:v>
                </c:pt>
                <c:pt idx="21">
                  <c:v>1.5</c:v>
                </c:pt>
                <c:pt idx="22">
                  <c:v>4</c:v>
                </c:pt>
                <c:pt idx="23">
                  <c:v>0</c:v>
                </c:pt>
                <c:pt idx="24">
                  <c:v>1.1499999999999972</c:v>
                </c:pt>
                <c:pt idx="25">
                  <c:v>1.1200000000000001</c:v>
                </c:pt>
                <c:pt idx="26">
                  <c:v>2.1666666666666665</c:v>
                </c:pt>
                <c:pt idx="27">
                  <c:v>1.6666666666666667</c:v>
                </c:pt>
                <c:pt idx="28">
                  <c:v>3</c:v>
                </c:pt>
                <c:pt idx="29">
                  <c:v>1</c:v>
                </c:pt>
                <c:pt idx="30">
                  <c:v>2.3366336633663365</c:v>
                </c:pt>
                <c:pt idx="31">
                  <c:v>1.5686274509803919</c:v>
                </c:pt>
                <c:pt idx="32">
                  <c:v>0</c:v>
                </c:pt>
                <c:pt idx="33">
                  <c:v>2.0666666666666669</c:v>
                </c:pt>
                <c:pt idx="34">
                  <c:v>1.5</c:v>
                </c:pt>
                <c:pt idx="35">
                  <c:v>3</c:v>
                </c:pt>
                <c:pt idx="36">
                  <c:v>1</c:v>
                </c:pt>
                <c:pt idx="37">
                  <c:v>2.6981132075471783</c:v>
                </c:pt>
                <c:pt idx="38">
                  <c:v>0</c:v>
                </c:pt>
                <c:pt idx="39">
                  <c:v>0</c:v>
                </c:pt>
                <c:pt idx="40">
                  <c:v>1.1160990712074299</c:v>
                </c:pt>
              </c:numCache>
            </c:numRef>
          </c:xVal>
          <c:yVal>
            <c:numRef>
              <c:f>'Úroveň zpracování'!$AF$2:$AF$42</c:f>
              <c:numCache>
                <c:formatCode>General</c:formatCode>
                <c:ptCount val="41"/>
                <c:pt idx="0">
                  <c:v>1.5668934240362835</c:v>
                </c:pt>
                <c:pt idx="1">
                  <c:v>0</c:v>
                </c:pt>
                <c:pt idx="2">
                  <c:v>4.9702233250620571</c:v>
                </c:pt>
                <c:pt idx="3">
                  <c:v>1.5728960257996858</c:v>
                </c:pt>
                <c:pt idx="4">
                  <c:v>0</c:v>
                </c:pt>
                <c:pt idx="5">
                  <c:v>1.3203883495145641</c:v>
                </c:pt>
                <c:pt idx="6">
                  <c:v>5</c:v>
                </c:pt>
                <c:pt idx="7">
                  <c:v>1.6666666666666667</c:v>
                </c:pt>
                <c:pt idx="8">
                  <c:v>1</c:v>
                </c:pt>
                <c:pt idx="9">
                  <c:v>1.2012072434607646</c:v>
                </c:pt>
                <c:pt idx="10">
                  <c:v>0</c:v>
                </c:pt>
                <c:pt idx="11">
                  <c:v>1.0249999999999972</c:v>
                </c:pt>
                <c:pt idx="12">
                  <c:v>1.4285714285714286</c:v>
                </c:pt>
                <c:pt idx="13">
                  <c:v>8.5</c:v>
                </c:pt>
                <c:pt idx="14">
                  <c:v>0.8</c:v>
                </c:pt>
                <c:pt idx="15">
                  <c:v>0</c:v>
                </c:pt>
                <c:pt idx="16">
                  <c:v>1.8333333333333333</c:v>
                </c:pt>
                <c:pt idx="17">
                  <c:v>4.5</c:v>
                </c:pt>
                <c:pt idx="18">
                  <c:v>0</c:v>
                </c:pt>
                <c:pt idx="19">
                  <c:v>3</c:v>
                </c:pt>
                <c:pt idx="20">
                  <c:v>3.4511999999999987</c:v>
                </c:pt>
                <c:pt idx="21">
                  <c:v>2</c:v>
                </c:pt>
                <c:pt idx="22">
                  <c:v>6</c:v>
                </c:pt>
                <c:pt idx="23">
                  <c:v>0</c:v>
                </c:pt>
                <c:pt idx="24">
                  <c:v>1.4</c:v>
                </c:pt>
                <c:pt idx="25">
                  <c:v>1.1920000000000026</c:v>
                </c:pt>
                <c:pt idx="26">
                  <c:v>3.5</c:v>
                </c:pt>
                <c:pt idx="27">
                  <c:v>2.6666666666666665</c:v>
                </c:pt>
                <c:pt idx="28">
                  <c:v>7</c:v>
                </c:pt>
                <c:pt idx="29">
                  <c:v>1.5</c:v>
                </c:pt>
                <c:pt idx="30">
                  <c:v>3.8366336633663365</c:v>
                </c:pt>
                <c:pt idx="31">
                  <c:v>2.1568627450980387</c:v>
                </c:pt>
                <c:pt idx="32">
                  <c:v>0</c:v>
                </c:pt>
                <c:pt idx="33">
                  <c:v>2.8333333333333335</c:v>
                </c:pt>
                <c:pt idx="34">
                  <c:v>2.5</c:v>
                </c:pt>
                <c:pt idx="35">
                  <c:v>4</c:v>
                </c:pt>
                <c:pt idx="36">
                  <c:v>1</c:v>
                </c:pt>
                <c:pt idx="37">
                  <c:v>3.4528301886792394</c:v>
                </c:pt>
                <c:pt idx="38">
                  <c:v>0</c:v>
                </c:pt>
                <c:pt idx="39">
                  <c:v>0</c:v>
                </c:pt>
                <c:pt idx="40">
                  <c:v>1.2128482972136192</c:v>
                </c:pt>
              </c:numCache>
            </c:numRef>
          </c:yVal>
          <c:smooth val="0"/>
        </c:ser>
        <c:dLbls>
          <c:showLegendKey val="0"/>
          <c:showVal val="0"/>
          <c:showCatName val="0"/>
          <c:showSerName val="0"/>
          <c:showPercent val="0"/>
          <c:showBubbleSize val="0"/>
        </c:dLbls>
        <c:axId val="198297792"/>
        <c:axId val="316321120"/>
      </c:scatterChart>
      <c:valAx>
        <c:axId val="198297792"/>
        <c:scaling>
          <c:orientation val="minMax"/>
        </c:scaling>
        <c:delete val="0"/>
        <c:axPos val="b"/>
        <c:numFmt formatCode="General" sourceLinked="1"/>
        <c:majorTickMark val="out"/>
        <c:minorTickMark val="none"/>
        <c:tickLblPos val="nextTo"/>
        <c:crossAx val="316321120"/>
        <c:crosses val="autoZero"/>
        <c:crossBetween val="midCat"/>
      </c:valAx>
      <c:valAx>
        <c:axId val="316321120"/>
        <c:scaling>
          <c:orientation val="minMax"/>
        </c:scaling>
        <c:delete val="0"/>
        <c:axPos val="l"/>
        <c:majorGridlines/>
        <c:numFmt formatCode="General" sourceLinked="1"/>
        <c:majorTickMark val="out"/>
        <c:minorTickMark val="none"/>
        <c:tickLblPos val="nextTo"/>
        <c:crossAx val="198297792"/>
        <c:crosses val="autoZero"/>
        <c:crossBetween val="midCat"/>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'Vsechny priority'!$A$4:$I$4</c:f>
              <c:strCache>
                <c:ptCount val="1"/>
                <c:pt idx="0">
                  <c:v>UCHAZEČI STUDIUM ROZVOJ SPOLUPRÁCE PRAXE VaV FINANCE ŘÍZENÍ VNĚJŠÍ</c:v>
                </c:pt>
              </c:strCache>
            </c:strRef>
          </c:tx>
          <c:invertIfNegative val="0"/>
          <c:cat>
            <c:strRef>
              <c:f>'Vsechny priority'!$A$4:$I$4</c:f>
              <c:strCache>
                <c:ptCount val="9"/>
                <c:pt idx="0">
                  <c:v>UCHAZEČI</c:v>
                </c:pt>
                <c:pt idx="1">
                  <c:v>STUDIUM</c:v>
                </c:pt>
                <c:pt idx="2">
                  <c:v>ROZVOJ</c:v>
                </c:pt>
                <c:pt idx="3">
                  <c:v>SPOLUPRÁCE</c:v>
                </c:pt>
                <c:pt idx="4">
                  <c:v>PRAXE</c:v>
                </c:pt>
                <c:pt idx="5">
                  <c:v>VaV</c:v>
                </c:pt>
                <c:pt idx="6">
                  <c:v>FINANCE</c:v>
                </c:pt>
                <c:pt idx="7">
                  <c:v>ŘÍZENÍ</c:v>
                </c:pt>
                <c:pt idx="8">
                  <c:v>VNĚJŠÍ</c:v>
                </c:pt>
              </c:strCache>
            </c:strRef>
          </c:cat>
          <c:val>
            <c:numRef>
              <c:f>'Vsechny priority'!$A$3:$I$3</c:f>
              <c:numCache>
                <c:formatCode>General</c:formatCode>
                <c:ptCount val="9"/>
                <c:pt idx="0">
                  <c:v>2</c:v>
                </c:pt>
                <c:pt idx="1">
                  <c:v>39</c:v>
                </c:pt>
                <c:pt idx="2">
                  <c:v>13</c:v>
                </c:pt>
                <c:pt idx="3">
                  <c:v>36</c:v>
                </c:pt>
                <c:pt idx="4">
                  <c:v>19</c:v>
                </c:pt>
                <c:pt idx="5">
                  <c:v>34</c:v>
                </c:pt>
                <c:pt idx="6">
                  <c:v>27</c:v>
                </c:pt>
                <c:pt idx="7">
                  <c:v>30</c:v>
                </c:pt>
                <c:pt idx="8">
                  <c:v>20</c:v>
                </c:pt>
              </c:numCache>
            </c:numRef>
          </c:val>
        </c:ser>
        <c:dLbls>
          <c:showLegendKey val="0"/>
          <c:showVal val="0"/>
          <c:showCatName val="0"/>
          <c:showSerName val="0"/>
          <c:showPercent val="0"/>
          <c:showBubbleSize val="0"/>
        </c:dLbls>
        <c:gapWidth val="150"/>
        <c:axId val="310814216"/>
        <c:axId val="338968664"/>
      </c:barChart>
      <c:catAx>
        <c:axId val="310814216"/>
        <c:scaling>
          <c:orientation val="minMax"/>
        </c:scaling>
        <c:delete val="0"/>
        <c:axPos val="b"/>
        <c:numFmt formatCode="General" sourceLinked="0"/>
        <c:majorTickMark val="out"/>
        <c:minorTickMark val="none"/>
        <c:tickLblPos val="nextTo"/>
        <c:crossAx val="338968664"/>
        <c:crosses val="autoZero"/>
        <c:auto val="1"/>
        <c:lblAlgn val="ctr"/>
        <c:lblOffset val="100"/>
        <c:noMultiLvlLbl val="0"/>
      </c:catAx>
      <c:valAx>
        <c:axId val="338968664"/>
        <c:scaling>
          <c:orientation val="minMax"/>
        </c:scaling>
        <c:delete val="0"/>
        <c:axPos val="l"/>
        <c:majorGridlines/>
        <c:numFmt formatCode="General" sourceLinked="1"/>
        <c:majorTickMark val="out"/>
        <c:minorTickMark val="none"/>
        <c:tickLblPos val="nextTo"/>
        <c:crossAx val="310814216"/>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cat>
            <c:strRef>
              <c:f>'Vsechny priority'!$A$1:$I$1</c:f>
              <c:strCache>
                <c:ptCount val="9"/>
                <c:pt idx="0">
                  <c:v>UCHAZEČI</c:v>
                </c:pt>
                <c:pt idx="1">
                  <c:v>STUDIUM</c:v>
                </c:pt>
                <c:pt idx="2">
                  <c:v>ROZVOJ</c:v>
                </c:pt>
                <c:pt idx="3">
                  <c:v>SPOLUPRÁCE</c:v>
                </c:pt>
                <c:pt idx="4">
                  <c:v>PRAXE</c:v>
                </c:pt>
                <c:pt idx="5">
                  <c:v>VaV</c:v>
                </c:pt>
                <c:pt idx="6">
                  <c:v>FINANCE</c:v>
                </c:pt>
                <c:pt idx="7">
                  <c:v>ŘÍZENÍ</c:v>
                </c:pt>
                <c:pt idx="8">
                  <c:v>VNĚJŠÍ</c:v>
                </c:pt>
              </c:strCache>
            </c:strRef>
          </c:cat>
          <c:val>
            <c:numRef>
              <c:f>'Vsechny priority'!$A$2:$I$2</c:f>
              <c:numCache>
                <c:formatCode>General</c:formatCode>
                <c:ptCount val="9"/>
                <c:pt idx="0">
                  <c:v>4</c:v>
                </c:pt>
                <c:pt idx="1">
                  <c:v>70</c:v>
                </c:pt>
                <c:pt idx="2">
                  <c:v>32</c:v>
                </c:pt>
                <c:pt idx="3">
                  <c:v>69</c:v>
                </c:pt>
                <c:pt idx="4">
                  <c:v>45</c:v>
                </c:pt>
                <c:pt idx="5">
                  <c:v>52</c:v>
                </c:pt>
                <c:pt idx="6">
                  <c:v>55</c:v>
                </c:pt>
                <c:pt idx="7">
                  <c:v>53</c:v>
                </c:pt>
                <c:pt idx="8">
                  <c:v>33</c:v>
                </c:pt>
              </c:numCache>
            </c:numRef>
          </c:val>
        </c:ser>
        <c:dLbls>
          <c:showLegendKey val="0"/>
          <c:showVal val="0"/>
          <c:showCatName val="0"/>
          <c:showSerName val="0"/>
          <c:showPercent val="0"/>
          <c:showBubbleSize val="0"/>
        </c:dLbls>
        <c:gapWidth val="150"/>
        <c:axId val="338969448"/>
        <c:axId val="338969840"/>
      </c:barChart>
      <c:catAx>
        <c:axId val="338969448"/>
        <c:scaling>
          <c:orientation val="minMax"/>
        </c:scaling>
        <c:delete val="0"/>
        <c:axPos val="b"/>
        <c:numFmt formatCode="General" sourceLinked="0"/>
        <c:majorTickMark val="out"/>
        <c:minorTickMark val="none"/>
        <c:tickLblPos val="nextTo"/>
        <c:crossAx val="338969840"/>
        <c:crosses val="autoZero"/>
        <c:auto val="1"/>
        <c:lblAlgn val="ctr"/>
        <c:lblOffset val="100"/>
        <c:noMultiLvlLbl val="0"/>
      </c:catAx>
      <c:valAx>
        <c:axId val="338969840"/>
        <c:scaling>
          <c:orientation val="minMax"/>
        </c:scaling>
        <c:delete val="0"/>
        <c:axPos val="l"/>
        <c:majorGridlines/>
        <c:numFmt formatCode="General" sourceLinked="1"/>
        <c:majorTickMark val="out"/>
        <c:minorTickMark val="none"/>
        <c:tickLblPos val="nextTo"/>
        <c:crossAx val="338969448"/>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zpracování'!$M$2:$M$6</c:f>
              <c:numCache>
                <c:formatCode>General</c:formatCode>
                <c:ptCount val="5"/>
                <c:pt idx="0">
                  <c:v>0.94747899159663851</c:v>
                </c:pt>
                <c:pt idx="1">
                  <c:v>0.9555555555555556</c:v>
                </c:pt>
                <c:pt idx="2">
                  <c:v>1</c:v>
                </c:pt>
                <c:pt idx="3">
                  <c:v>1.2</c:v>
                </c:pt>
                <c:pt idx="4">
                  <c:v>0.755868544600939</c:v>
                </c:pt>
              </c:numCache>
            </c:numRef>
          </c:xVal>
          <c:yVal>
            <c:numRef>
              <c:f>'Úroveň zpracování'!$N$2:$N$6</c:f>
              <c:numCache>
                <c:formatCode>General</c:formatCode>
                <c:ptCount val="5"/>
                <c:pt idx="0">
                  <c:v>0.92121848739495749</c:v>
                </c:pt>
                <c:pt idx="1">
                  <c:v>0.93954718516580926</c:v>
                </c:pt>
                <c:pt idx="2">
                  <c:v>1</c:v>
                </c:pt>
                <c:pt idx="3">
                  <c:v>1.44</c:v>
                </c:pt>
                <c:pt idx="4">
                  <c:v>0.755868544600939</c:v>
                </c:pt>
              </c:numCache>
            </c:numRef>
          </c:yVal>
          <c:smooth val="0"/>
        </c:ser>
        <c:dLbls>
          <c:showLegendKey val="0"/>
          <c:showVal val="0"/>
          <c:showCatName val="0"/>
          <c:showSerName val="0"/>
          <c:showPercent val="0"/>
          <c:showBubbleSize val="0"/>
        </c:dLbls>
        <c:axId val="202415984"/>
        <c:axId val="202416376"/>
      </c:scatterChart>
      <c:valAx>
        <c:axId val="202415984"/>
        <c:scaling>
          <c:orientation val="minMax"/>
        </c:scaling>
        <c:delete val="0"/>
        <c:axPos val="b"/>
        <c:numFmt formatCode="General" sourceLinked="1"/>
        <c:majorTickMark val="out"/>
        <c:minorTickMark val="none"/>
        <c:tickLblPos val="nextTo"/>
        <c:crossAx val="202416376"/>
        <c:crosses val="autoZero"/>
        <c:crossBetween val="midCat"/>
      </c:valAx>
      <c:valAx>
        <c:axId val="202416376"/>
        <c:scaling>
          <c:orientation val="minMax"/>
        </c:scaling>
        <c:delete val="0"/>
        <c:axPos val="l"/>
        <c:majorGridlines/>
        <c:numFmt formatCode="General" sourceLinked="1"/>
        <c:majorTickMark val="out"/>
        <c:minorTickMark val="none"/>
        <c:tickLblPos val="nextTo"/>
        <c:crossAx val="202415984"/>
        <c:crosses val="autoZero"/>
        <c:crossBetween val="midCat"/>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5030183727034119E-2"/>
          <c:y val="2.8252405949256338E-2"/>
          <c:w val="0.87298381452318996"/>
          <c:h val="0.8326195683872849"/>
        </c:manualLayout>
      </c:layout>
      <c:scatterChart>
        <c:scatterStyle val="lineMarker"/>
        <c:varyColors val="0"/>
        <c:ser>
          <c:idx val="0"/>
          <c:order val="0"/>
          <c:spPr>
            <a:ln w="28575">
              <a:noFill/>
            </a:ln>
          </c:spPr>
          <c:xVal>
            <c:numRef>
              <c:f>'Úroveň zpracování'!$M$2:$M$20</c:f>
              <c:numCache>
                <c:formatCode>General</c:formatCode>
                <c:ptCount val="19"/>
                <c:pt idx="0">
                  <c:v>0.94747899159663851</c:v>
                </c:pt>
                <c:pt idx="1">
                  <c:v>0.9555555555555556</c:v>
                </c:pt>
                <c:pt idx="2">
                  <c:v>1</c:v>
                </c:pt>
                <c:pt idx="3">
                  <c:v>1.2</c:v>
                </c:pt>
                <c:pt idx="4">
                  <c:v>0.755868544600939</c:v>
                </c:pt>
                <c:pt idx="5">
                  <c:v>0.95432300163132133</c:v>
                </c:pt>
                <c:pt idx="6">
                  <c:v>1</c:v>
                </c:pt>
                <c:pt idx="7">
                  <c:v>1</c:v>
                </c:pt>
                <c:pt idx="8">
                  <c:v>1.047619047619045</c:v>
                </c:pt>
                <c:pt idx="9">
                  <c:v>1.0243902439024366</c:v>
                </c:pt>
                <c:pt idx="10">
                  <c:v>1</c:v>
                </c:pt>
                <c:pt idx="11">
                  <c:v>1.0315789473684212</c:v>
                </c:pt>
                <c:pt idx="12">
                  <c:v>1.1000000000000001</c:v>
                </c:pt>
                <c:pt idx="13">
                  <c:v>1.0328083989501298</c:v>
                </c:pt>
                <c:pt idx="14">
                  <c:v>0.85342019543973968</c:v>
                </c:pt>
                <c:pt idx="15">
                  <c:v>0</c:v>
                </c:pt>
                <c:pt idx="16">
                  <c:v>1.0714285714285721</c:v>
                </c:pt>
                <c:pt idx="17">
                  <c:v>1.2727272727272718</c:v>
                </c:pt>
                <c:pt idx="18">
                  <c:v>0</c:v>
                </c:pt>
              </c:numCache>
            </c:numRef>
          </c:xVal>
          <c:yVal>
            <c:numRef>
              <c:f>'Úroveň zpracování'!$N$2:$N$20</c:f>
              <c:numCache>
                <c:formatCode>General</c:formatCode>
                <c:ptCount val="19"/>
                <c:pt idx="0">
                  <c:v>0.92121848739495749</c:v>
                </c:pt>
                <c:pt idx="1">
                  <c:v>0.93954718516580926</c:v>
                </c:pt>
                <c:pt idx="2">
                  <c:v>1</c:v>
                </c:pt>
                <c:pt idx="3">
                  <c:v>1.44</c:v>
                </c:pt>
                <c:pt idx="4">
                  <c:v>0.755868544600939</c:v>
                </c:pt>
                <c:pt idx="5">
                  <c:v>0.95432300163132133</c:v>
                </c:pt>
                <c:pt idx="6">
                  <c:v>1</c:v>
                </c:pt>
                <c:pt idx="7">
                  <c:v>1</c:v>
                </c:pt>
                <c:pt idx="8">
                  <c:v>1.047619047619045</c:v>
                </c:pt>
                <c:pt idx="9">
                  <c:v>1.0243902439024366</c:v>
                </c:pt>
                <c:pt idx="10">
                  <c:v>1.3551136363636365</c:v>
                </c:pt>
                <c:pt idx="11">
                  <c:v>1.0315789473684212</c:v>
                </c:pt>
                <c:pt idx="12">
                  <c:v>1.1000000000000001</c:v>
                </c:pt>
                <c:pt idx="13">
                  <c:v>1.0853018372703398</c:v>
                </c:pt>
                <c:pt idx="14">
                  <c:v>0.70684039087948025</c:v>
                </c:pt>
                <c:pt idx="15">
                  <c:v>0</c:v>
                </c:pt>
                <c:pt idx="16">
                  <c:v>1.0714285714285721</c:v>
                </c:pt>
                <c:pt idx="17">
                  <c:v>1.5454545454545454</c:v>
                </c:pt>
                <c:pt idx="18">
                  <c:v>0</c:v>
                </c:pt>
              </c:numCache>
            </c:numRef>
          </c:yVal>
          <c:smooth val="0"/>
        </c:ser>
        <c:dLbls>
          <c:showLegendKey val="0"/>
          <c:showVal val="0"/>
          <c:showCatName val="0"/>
          <c:showSerName val="0"/>
          <c:showPercent val="0"/>
          <c:showBubbleSize val="0"/>
        </c:dLbls>
        <c:axId val="202417160"/>
        <c:axId val="202417552"/>
      </c:scatterChart>
      <c:valAx>
        <c:axId val="202417160"/>
        <c:scaling>
          <c:orientation val="minMax"/>
        </c:scaling>
        <c:delete val="0"/>
        <c:axPos val="b"/>
        <c:numFmt formatCode="General" sourceLinked="1"/>
        <c:majorTickMark val="out"/>
        <c:minorTickMark val="none"/>
        <c:tickLblPos val="nextTo"/>
        <c:crossAx val="202417552"/>
        <c:crosses val="autoZero"/>
        <c:crossBetween val="midCat"/>
      </c:valAx>
      <c:valAx>
        <c:axId val="202417552"/>
        <c:scaling>
          <c:orientation val="minMax"/>
        </c:scaling>
        <c:delete val="0"/>
        <c:axPos val="l"/>
        <c:majorGridlines/>
        <c:numFmt formatCode="General" sourceLinked="1"/>
        <c:majorTickMark val="out"/>
        <c:minorTickMark val="none"/>
        <c:tickLblPos val="nextTo"/>
        <c:crossAx val="202417160"/>
        <c:crosses val="autoZero"/>
        <c:crossBetween val="midCat"/>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5030183727034119E-2"/>
          <c:y val="2.8252405949256338E-2"/>
          <c:w val="0.87298381452319107"/>
          <c:h val="0.8326195683872849"/>
        </c:manualLayout>
      </c:layout>
      <c:scatterChart>
        <c:scatterStyle val="lineMarker"/>
        <c:varyColors val="0"/>
        <c:ser>
          <c:idx val="0"/>
          <c:order val="0"/>
          <c:spPr>
            <a:ln w="28575">
              <a:noFill/>
            </a:ln>
          </c:spPr>
          <c:xVal>
            <c:numRef>
              <c:f>'Úroveň zpracování'!$M$2:$M$42</c:f>
              <c:numCache>
                <c:formatCode>General</c:formatCode>
                <c:ptCount val="41"/>
                <c:pt idx="0">
                  <c:v>0.94747899159663851</c:v>
                </c:pt>
                <c:pt idx="1">
                  <c:v>0.9555555555555556</c:v>
                </c:pt>
                <c:pt idx="2">
                  <c:v>1</c:v>
                </c:pt>
                <c:pt idx="3">
                  <c:v>1.2</c:v>
                </c:pt>
                <c:pt idx="4">
                  <c:v>0.755868544600939</c:v>
                </c:pt>
                <c:pt idx="5">
                  <c:v>0.95432300163132133</c:v>
                </c:pt>
                <c:pt idx="6">
                  <c:v>1</c:v>
                </c:pt>
                <c:pt idx="7">
                  <c:v>1</c:v>
                </c:pt>
                <c:pt idx="8">
                  <c:v>1.047619047619045</c:v>
                </c:pt>
                <c:pt idx="9">
                  <c:v>1.0243902439024366</c:v>
                </c:pt>
                <c:pt idx="10">
                  <c:v>1</c:v>
                </c:pt>
                <c:pt idx="11">
                  <c:v>1.0315789473684212</c:v>
                </c:pt>
                <c:pt idx="12">
                  <c:v>1.1000000000000001</c:v>
                </c:pt>
                <c:pt idx="13">
                  <c:v>1.0328083989501298</c:v>
                </c:pt>
                <c:pt idx="14">
                  <c:v>0.85342019543973968</c:v>
                </c:pt>
                <c:pt idx="15">
                  <c:v>0</c:v>
                </c:pt>
                <c:pt idx="16">
                  <c:v>1.0714285714285721</c:v>
                </c:pt>
                <c:pt idx="17">
                  <c:v>1.2727272727272718</c:v>
                </c:pt>
                <c:pt idx="18">
                  <c:v>0</c:v>
                </c:pt>
                <c:pt idx="19">
                  <c:v>2.6666666666666665</c:v>
                </c:pt>
                <c:pt idx="20">
                  <c:v>1</c:v>
                </c:pt>
                <c:pt idx="21">
                  <c:v>1.5</c:v>
                </c:pt>
                <c:pt idx="22">
                  <c:v>1.3333333333333333</c:v>
                </c:pt>
                <c:pt idx="23">
                  <c:v>2.4</c:v>
                </c:pt>
                <c:pt idx="24">
                  <c:v>1.1008064516129032</c:v>
                </c:pt>
                <c:pt idx="25">
                  <c:v>1.1568627450980393</c:v>
                </c:pt>
                <c:pt idx="26">
                  <c:v>1.0657894736842106</c:v>
                </c:pt>
                <c:pt idx="27">
                  <c:v>1.5609756097560981</c:v>
                </c:pt>
                <c:pt idx="28">
                  <c:v>2.3030303030303032</c:v>
                </c:pt>
                <c:pt idx="29">
                  <c:v>0.95000000000000062</c:v>
                </c:pt>
                <c:pt idx="30">
                  <c:v>2.2285714285714371</c:v>
                </c:pt>
                <c:pt idx="31">
                  <c:v>1</c:v>
                </c:pt>
                <c:pt idx="32">
                  <c:v>0</c:v>
                </c:pt>
                <c:pt idx="33">
                  <c:v>0.75342465753424814</c:v>
                </c:pt>
                <c:pt idx="34">
                  <c:v>1.1333333333333333</c:v>
                </c:pt>
                <c:pt idx="35">
                  <c:v>1.3333333333333333</c:v>
                </c:pt>
                <c:pt idx="36">
                  <c:v>1</c:v>
                </c:pt>
                <c:pt idx="37">
                  <c:v>1.40625</c:v>
                </c:pt>
                <c:pt idx="38">
                  <c:v>1.3333333333333333</c:v>
                </c:pt>
                <c:pt idx="39">
                  <c:v>2.6133333333333342</c:v>
                </c:pt>
                <c:pt idx="40">
                  <c:v>1</c:v>
                </c:pt>
              </c:numCache>
            </c:numRef>
          </c:xVal>
          <c:yVal>
            <c:numRef>
              <c:f>'Úroveň zpracování'!$N$2:$N$42</c:f>
              <c:numCache>
                <c:formatCode>General</c:formatCode>
                <c:ptCount val="41"/>
                <c:pt idx="0">
                  <c:v>0.92121848739495749</c:v>
                </c:pt>
                <c:pt idx="1">
                  <c:v>0.93954718516580926</c:v>
                </c:pt>
                <c:pt idx="2">
                  <c:v>1</c:v>
                </c:pt>
                <c:pt idx="3">
                  <c:v>1.44</c:v>
                </c:pt>
                <c:pt idx="4">
                  <c:v>0.755868544600939</c:v>
                </c:pt>
                <c:pt idx="5">
                  <c:v>0.95432300163132133</c:v>
                </c:pt>
                <c:pt idx="6">
                  <c:v>1</c:v>
                </c:pt>
                <c:pt idx="7">
                  <c:v>1</c:v>
                </c:pt>
                <c:pt idx="8">
                  <c:v>1.047619047619045</c:v>
                </c:pt>
                <c:pt idx="9">
                  <c:v>1.0243902439024366</c:v>
                </c:pt>
                <c:pt idx="10">
                  <c:v>1.3551136363636365</c:v>
                </c:pt>
                <c:pt idx="11">
                  <c:v>1.0315789473684212</c:v>
                </c:pt>
                <c:pt idx="12">
                  <c:v>1.1000000000000001</c:v>
                </c:pt>
                <c:pt idx="13">
                  <c:v>1.0853018372703398</c:v>
                </c:pt>
                <c:pt idx="14">
                  <c:v>0.70684039087948025</c:v>
                </c:pt>
                <c:pt idx="15">
                  <c:v>0</c:v>
                </c:pt>
                <c:pt idx="16">
                  <c:v>1.0714285714285721</c:v>
                </c:pt>
                <c:pt idx="17">
                  <c:v>1.5454545454545454</c:v>
                </c:pt>
                <c:pt idx="18">
                  <c:v>0</c:v>
                </c:pt>
                <c:pt idx="19">
                  <c:v>2.6666666666666665</c:v>
                </c:pt>
                <c:pt idx="20">
                  <c:v>1</c:v>
                </c:pt>
                <c:pt idx="21">
                  <c:v>6.5</c:v>
                </c:pt>
                <c:pt idx="22">
                  <c:v>1.6666666666666667</c:v>
                </c:pt>
                <c:pt idx="23">
                  <c:v>5.0999999999999996</c:v>
                </c:pt>
                <c:pt idx="24">
                  <c:v>1.2137096774193492</c:v>
                </c:pt>
                <c:pt idx="25">
                  <c:v>1.1568627450980393</c:v>
                </c:pt>
                <c:pt idx="26">
                  <c:v>1.148026315789471</c:v>
                </c:pt>
                <c:pt idx="27">
                  <c:v>1.8048780487804879</c:v>
                </c:pt>
                <c:pt idx="28">
                  <c:v>4.2727272727272725</c:v>
                </c:pt>
                <c:pt idx="29">
                  <c:v>1.05</c:v>
                </c:pt>
                <c:pt idx="30">
                  <c:v>3.8571428571428572</c:v>
                </c:pt>
                <c:pt idx="31">
                  <c:v>1.0952380952380938</c:v>
                </c:pt>
                <c:pt idx="32">
                  <c:v>0</c:v>
                </c:pt>
                <c:pt idx="33">
                  <c:v>1.0958904109589038</c:v>
                </c:pt>
                <c:pt idx="34">
                  <c:v>1.3333333333333333</c:v>
                </c:pt>
                <c:pt idx="35">
                  <c:v>1.4666666666666666</c:v>
                </c:pt>
                <c:pt idx="36">
                  <c:v>1</c:v>
                </c:pt>
                <c:pt idx="37">
                  <c:v>1.5625</c:v>
                </c:pt>
                <c:pt idx="38">
                  <c:v>1.6666666666666667</c:v>
                </c:pt>
                <c:pt idx="39">
                  <c:v>2.6133333333333342</c:v>
                </c:pt>
                <c:pt idx="40">
                  <c:v>1.1005747126436778</c:v>
                </c:pt>
              </c:numCache>
            </c:numRef>
          </c:yVal>
          <c:smooth val="0"/>
        </c:ser>
        <c:dLbls>
          <c:showLegendKey val="0"/>
          <c:showVal val="0"/>
          <c:showCatName val="0"/>
          <c:showSerName val="0"/>
          <c:showPercent val="0"/>
          <c:showBubbleSize val="0"/>
        </c:dLbls>
        <c:axId val="189704160"/>
        <c:axId val="189704552"/>
      </c:scatterChart>
      <c:valAx>
        <c:axId val="189704160"/>
        <c:scaling>
          <c:orientation val="minMax"/>
        </c:scaling>
        <c:delete val="0"/>
        <c:axPos val="b"/>
        <c:numFmt formatCode="General" sourceLinked="1"/>
        <c:majorTickMark val="out"/>
        <c:minorTickMark val="none"/>
        <c:tickLblPos val="nextTo"/>
        <c:crossAx val="189704552"/>
        <c:crosses val="autoZero"/>
        <c:crossBetween val="midCat"/>
      </c:valAx>
      <c:valAx>
        <c:axId val="189704552"/>
        <c:scaling>
          <c:orientation val="minMax"/>
        </c:scaling>
        <c:delete val="0"/>
        <c:axPos val="l"/>
        <c:majorGridlines/>
        <c:numFmt formatCode="General" sourceLinked="1"/>
        <c:majorTickMark val="out"/>
        <c:minorTickMark val="none"/>
        <c:tickLblPos val="nextTo"/>
        <c:crossAx val="189704160"/>
        <c:crosses val="autoZero"/>
        <c:crossBetween val="midCat"/>
      </c:valAx>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zpracování'!$Y$2:$Y$6</c:f>
              <c:numCache>
                <c:formatCode>General</c:formatCode>
                <c:ptCount val="5"/>
                <c:pt idx="0">
                  <c:v>0.89416058394160403</c:v>
                </c:pt>
                <c:pt idx="1">
                  <c:v>0.90000924129008464</c:v>
                </c:pt>
                <c:pt idx="2">
                  <c:v>0.96152613016992627</c:v>
                </c:pt>
                <c:pt idx="3">
                  <c:v>0.6998987388382587</c:v>
                </c:pt>
                <c:pt idx="4">
                  <c:v>0.75469152459217737</c:v>
                </c:pt>
              </c:numCache>
            </c:numRef>
          </c:xVal>
          <c:yVal>
            <c:numRef>
              <c:f>'Úroveň zpracování'!$Z$2:$Z$6</c:f>
              <c:numCache>
                <c:formatCode>General</c:formatCode>
                <c:ptCount val="5"/>
                <c:pt idx="0">
                  <c:v>0.82116788321167888</c:v>
                </c:pt>
                <c:pt idx="1">
                  <c:v>1.0349782829683019</c:v>
                </c:pt>
                <c:pt idx="2">
                  <c:v>0.89740301378647003</c:v>
                </c:pt>
                <c:pt idx="3">
                  <c:v>0.77078155205744414</c:v>
                </c:pt>
                <c:pt idx="4">
                  <c:v>0.75469152459217737</c:v>
                </c:pt>
              </c:numCache>
            </c:numRef>
          </c:yVal>
          <c:smooth val="0"/>
        </c:ser>
        <c:dLbls>
          <c:showLegendKey val="0"/>
          <c:showVal val="0"/>
          <c:showCatName val="0"/>
          <c:showSerName val="0"/>
          <c:showPercent val="0"/>
          <c:showBubbleSize val="0"/>
        </c:dLbls>
        <c:axId val="189705336"/>
        <c:axId val="190184344"/>
      </c:scatterChart>
      <c:valAx>
        <c:axId val="189705336"/>
        <c:scaling>
          <c:orientation val="minMax"/>
        </c:scaling>
        <c:delete val="0"/>
        <c:axPos val="b"/>
        <c:numFmt formatCode="General" sourceLinked="1"/>
        <c:majorTickMark val="out"/>
        <c:minorTickMark val="none"/>
        <c:tickLblPos val="nextTo"/>
        <c:crossAx val="190184344"/>
        <c:crosses val="autoZero"/>
        <c:crossBetween val="midCat"/>
      </c:valAx>
      <c:valAx>
        <c:axId val="190184344"/>
        <c:scaling>
          <c:orientation val="minMax"/>
        </c:scaling>
        <c:delete val="0"/>
        <c:axPos val="l"/>
        <c:majorGridlines/>
        <c:numFmt formatCode="General" sourceLinked="1"/>
        <c:majorTickMark val="out"/>
        <c:minorTickMark val="none"/>
        <c:tickLblPos val="nextTo"/>
        <c:crossAx val="189705336"/>
        <c:crosses val="autoZero"/>
        <c:crossBetween val="midCat"/>
      </c:valAx>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'Úroveň zpracování'!$Y$2:$Y$20</c:f>
              <c:numCache>
                <c:formatCode>General</c:formatCode>
                <c:ptCount val="19"/>
                <c:pt idx="0">
                  <c:v>0.89416058394160403</c:v>
                </c:pt>
                <c:pt idx="1">
                  <c:v>0.90000924129008464</c:v>
                </c:pt>
                <c:pt idx="2">
                  <c:v>0.96152613016992627</c:v>
                </c:pt>
                <c:pt idx="3">
                  <c:v>0.6998987388382587</c:v>
                </c:pt>
                <c:pt idx="4">
                  <c:v>0.75469152459217737</c:v>
                </c:pt>
                <c:pt idx="5">
                  <c:v>0.85513544835578903</c:v>
                </c:pt>
                <c:pt idx="6">
                  <c:v>1</c:v>
                </c:pt>
                <c:pt idx="7">
                  <c:v>0.8936170212765957</c:v>
                </c:pt>
                <c:pt idx="8">
                  <c:v>1</c:v>
                </c:pt>
                <c:pt idx="9">
                  <c:v>1</c:v>
                </c:pt>
                <c:pt idx="10">
                  <c:v>0.78600470789642629</c:v>
                </c:pt>
                <c:pt idx="11">
                  <c:v>1</c:v>
                </c:pt>
                <c:pt idx="12">
                  <c:v>0</c:v>
                </c:pt>
                <c:pt idx="13">
                  <c:v>1.1024643320363166</c:v>
                </c:pt>
                <c:pt idx="14">
                  <c:v>0.85093452585712648</c:v>
                </c:pt>
                <c:pt idx="15">
                  <c:v>0</c:v>
                </c:pt>
                <c:pt idx="16">
                  <c:v>1.0869565217391328</c:v>
                </c:pt>
                <c:pt idx="17">
                  <c:v>1</c:v>
                </c:pt>
                <c:pt idx="18">
                  <c:v>0</c:v>
                </c:pt>
              </c:numCache>
            </c:numRef>
          </c:xVal>
          <c:yVal>
            <c:numRef>
              <c:f>'Úroveň zpracování'!$Z$2:$Z$20</c:f>
              <c:numCache>
                <c:formatCode>General</c:formatCode>
                <c:ptCount val="19"/>
                <c:pt idx="0">
                  <c:v>0.82116788321167888</c:v>
                </c:pt>
                <c:pt idx="1">
                  <c:v>1.0349782829683019</c:v>
                </c:pt>
                <c:pt idx="2">
                  <c:v>0.89740301378647003</c:v>
                </c:pt>
                <c:pt idx="3">
                  <c:v>0.77078155205744414</c:v>
                </c:pt>
                <c:pt idx="4">
                  <c:v>0.75469152459217737</c:v>
                </c:pt>
                <c:pt idx="5">
                  <c:v>0.92756772417789357</c:v>
                </c:pt>
                <c:pt idx="6">
                  <c:v>1</c:v>
                </c:pt>
                <c:pt idx="7">
                  <c:v>0.8936170212765957</c:v>
                </c:pt>
                <c:pt idx="8">
                  <c:v>1.2307692307692284</c:v>
                </c:pt>
                <c:pt idx="9">
                  <c:v>1</c:v>
                </c:pt>
                <c:pt idx="10">
                  <c:v>1.0534988230258935</c:v>
                </c:pt>
                <c:pt idx="11">
                  <c:v>1</c:v>
                </c:pt>
                <c:pt idx="12">
                  <c:v>0</c:v>
                </c:pt>
                <c:pt idx="13">
                  <c:v>1.3346303501945518</c:v>
                </c:pt>
                <c:pt idx="14">
                  <c:v>0.70186905171425296</c:v>
                </c:pt>
                <c:pt idx="15">
                  <c:v>0</c:v>
                </c:pt>
                <c:pt idx="16">
                  <c:v>1.0869565217391328</c:v>
                </c:pt>
                <c:pt idx="17">
                  <c:v>1.0335917312661498</c:v>
                </c:pt>
                <c:pt idx="18">
                  <c:v>0</c:v>
                </c:pt>
              </c:numCache>
            </c:numRef>
          </c:yVal>
          <c:smooth val="0"/>
        </c:ser>
        <c:dLbls>
          <c:showLegendKey val="0"/>
          <c:showVal val="0"/>
          <c:showCatName val="0"/>
          <c:showSerName val="0"/>
          <c:showPercent val="0"/>
          <c:showBubbleSize val="0"/>
        </c:dLbls>
        <c:axId val="190185128"/>
        <c:axId val="190185520"/>
      </c:scatterChart>
      <c:valAx>
        <c:axId val="190185128"/>
        <c:scaling>
          <c:orientation val="minMax"/>
        </c:scaling>
        <c:delete val="0"/>
        <c:axPos val="b"/>
        <c:numFmt formatCode="General" sourceLinked="1"/>
        <c:majorTickMark val="out"/>
        <c:minorTickMark val="none"/>
        <c:tickLblPos val="nextTo"/>
        <c:crossAx val="190185520"/>
        <c:crosses val="autoZero"/>
        <c:crossBetween val="midCat"/>
      </c:valAx>
      <c:valAx>
        <c:axId val="190185520"/>
        <c:scaling>
          <c:orientation val="minMax"/>
        </c:scaling>
        <c:delete val="0"/>
        <c:axPos val="l"/>
        <c:majorGridlines/>
        <c:numFmt formatCode="General" sourceLinked="1"/>
        <c:majorTickMark val="out"/>
        <c:minorTickMark val="none"/>
        <c:tickLblPos val="nextTo"/>
        <c:crossAx val="190185128"/>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F8D33-B02B-4F6D-BDA0-E108204E0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KREDO_šablona_zkrácená verze</Template>
  <TotalTime>303</TotalTime>
  <Pages>78</Pages>
  <Words>17304</Words>
  <Characters>102094</Characters>
  <Application>Microsoft Office Word</Application>
  <DocSecurity>0</DocSecurity>
  <Lines>850</Lines>
  <Paragraphs>238</Paragraphs>
  <ScaleCrop>false</ScaleCrop>
  <HeadingPairs>
    <vt:vector size="2" baseType="variant">
      <vt:variant>
        <vt:lpstr>Název</vt:lpstr>
      </vt:variant>
      <vt:variant>
        <vt:i4>1</vt:i4>
      </vt:variant>
    </vt:vector>
  </HeadingPairs>
  <TitlesOfParts>
    <vt:vector size="1" baseType="lpstr">
      <vt:lpstr>Vážení,</vt:lpstr>
    </vt:vector>
  </TitlesOfParts>
  <Company>MSMT</Company>
  <LinksUpToDate>false</LinksUpToDate>
  <CharactersWithSpaces>119160</CharactersWithSpaces>
  <SharedDoc>false</SharedDoc>
  <HLinks>
    <vt:vector size="24" baseType="variant">
      <vt:variant>
        <vt:i4>1048623</vt:i4>
      </vt:variant>
      <vt:variant>
        <vt:i4>1036</vt:i4>
      </vt:variant>
      <vt:variant>
        <vt:i4>1025</vt:i4>
      </vt:variant>
      <vt:variant>
        <vt:i4>1</vt:i4>
      </vt:variant>
      <vt:variant>
        <vt:lpwstr>LOGO IPN pro hl_PAP.jpg</vt:lpwstr>
      </vt:variant>
      <vt:variant>
        <vt:lpwstr/>
      </vt:variant>
      <vt:variant>
        <vt:i4>5308444</vt:i4>
      </vt:variant>
      <vt:variant>
        <vt:i4>1063</vt:i4>
      </vt:variant>
      <vt:variant>
        <vt:i4>1026</vt:i4>
      </vt:variant>
      <vt:variant>
        <vt:i4>1</vt:i4>
      </vt:variant>
      <vt:variant>
        <vt:lpwstr>..\OPVK_hor_zakladni_logolink_CB_cz.jpg</vt:lpwstr>
      </vt:variant>
      <vt:variant>
        <vt:lpwstr/>
      </vt:variant>
      <vt:variant>
        <vt:i4>29294619</vt:i4>
      </vt:variant>
      <vt:variant>
        <vt:i4>-1</vt:i4>
      </vt:variant>
      <vt:variant>
        <vt:i4>1025</vt:i4>
      </vt:variant>
      <vt:variant>
        <vt:i4>0</vt:i4>
      </vt:variant>
      <vt:variant>
        <vt:lpwstr>F:\ZAKAZKY\zedníčková\MŠMT\HLAVIČKOVÝ PAPÍR\pozadí1.jpg</vt:lpwstr>
      </vt:variant>
      <vt:variant>
        <vt:lpwstr/>
      </vt:variant>
      <vt:variant>
        <vt:i4>5243173</vt:i4>
      </vt:variant>
      <vt:variant>
        <vt:i4>-1</vt:i4>
      </vt:variant>
      <vt:variant>
        <vt:i4>2051</vt:i4>
      </vt:variant>
      <vt:variant>
        <vt:i4>1</vt:i4>
      </vt:variant>
      <vt:variant>
        <vt:lpwstr>kuličky dole.jpg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Vážení,</dc:title>
  <dc:creator>Šťavová Jindra</dc:creator>
  <cp:lastModifiedBy>Jakub Fischer</cp:lastModifiedBy>
  <cp:revision>29</cp:revision>
  <cp:lastPrinted>2015-06-03T07:36:00Z</cp:lastPrinted>
  <dcterms:created xsi:type="dcterms:W3CDTF">2015-07-09T14:23:00Z</dcterms:created>
  <dcterms:modified xsi:type="dcterms:W3CDTF">2015-10-20T20:59:00Z</dcterms:modified>
</cp:coreProperties>
</file>